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2388" w:rsidRDefault="007D2749">
      <w:pPr>
        <w:pStyle w:val="Title"/>
      </w:pPr>
      <w:r>
        <w:t xml:space="preserve">BMEN E4001x: </w:t>
      </w:r>
      <w:r w:rsidR="00E62388">
        <w:t>Quantitative Physiology I / Molecular and Cellular Systems</w:t>
      </w:r>
    </w:p>
    <w:p w:rsidR="00E62388" w:rsidRDefault="00D9729C">
      <w:pPr>
        <w:jc w:val="center"/>
        <w:rPr>
          <w:b/>
        </w:rPr>
      </w:pPr>
      <w:r>
        <w:rPr>
          <w:b/>
        </w:rPr>
        <w:t>Notes 10</w:t>
      </w:r>
      <w:r w:rsidR="007D2749">
        <w:rPr>
          <w:b/>
        </w:rPr>
        <w:t xml:space="preserve"> -</w:t>
      </w:r>
      <w:r w:rsidR="00E62388">
        <w:rPr>
          <w:b/>
        </w:rPr>
        <w:t xml:space="preserve"> Excitable membranes</w:t>
      </w:r>
    </w:p>
    <w:p w:rsidR="00BC38E3" w:rsidRDefault="00BC38E3">
      <w:pPr>
        <w:jc w:val="center"/>
        <w:rPr>
          <w:b/>
        </w:rPr>
      </w:pPr>
      <w:r>
        <w:rPr>
          <w:b/>
        </w:rPr>
        <w:t>B&amp;B Chapter 7</w:t>
      </w:r>
    </w:p>
    <w:p w:rsidR="00E62388" w:rsidRDefault="00FE272E">
      <w:pPr>
        <w:pStyle w:val="LectureNotesNormal"/>
      </w:pPr>
      <w:r>
        <w:rPr>
          <w:noProof/>
          <w:sz w:val="20"/>
        </w:rPr>
        <w:drawing>
          <wp:anchor distT="0" distB="0" distL="114300" distR="114300" simplePos="0" relativeHeight="251657728" behindDoc="0" locked="0" layoutInCell="1" allowOverlap="1">
            <wp:simplePos x="0" y="0"/>
            <wp:positionH relativeFrom="column">
              <wp:posOffset>3669665</wp:posOffset>
            </wp:positionH>
            <wp:positionV relativeFrom="paragraph">
              <wp:posOffset>106045</wp:posOffset>
            </wp:positionV>
            <wp:extent cx="2127885" cy="2225675"/>
            <wp:effectExtent l="0" t="0" r="5715" b="3175"/>
            <wp:wrapSquare wrapText="bothSides"/>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27885" cy="2225675"/>
                    </a:xfrm>
                    <a:prstGeom prst="rect">
                      <a:avLst/>
                    </a:prstGeom>
                    <a:noFill/>
                    <a:ln>
                      <a:noFill/>
                    </a:ln>
                  </pic:spPr>
                </pic:pic>
              </a:graphicData>
            </a:graphic>
            <wp14:sizeRelH relativeFrom="page">
              <wp14:pctWidth>0</wp14:pctWidth>
            </wp14:sizeRelH>
            <wp14:sizeRelV relativeFrom="page">
              <wp14:pctHeight>0</wp14:pctHeight>
            </wp14:sizeRelV>
          </wp:anchor>
        </w:drawing>
      </w:r>
      <w:r w:rsidR="00E62388">
        <w:t>Consider two manipulations:</w:t>
      </w:r>
      <w:r w:rsidR="00E62388">
        <w:rPr>
          <w:noProof/>
          <w:sz w:val="20"/>
        </w:rPr>
        <w:t xml:space="preserve"> </w:t>
      </w:r>
    </w:p>
    <w:p w:rsidR="00E62388" w:rsidRDefault="00E62388">
      <w:pPr>
        <w:pStyle w:val="LectureNotesNormal"/>
      </w:pPr>
      <w:proofErr w:type="gramStart"/>
      <w:r>
        <w:rPr>
          <w:u w:val="single"/>
        </w:rPr>
        <w:t>hyperpolarization</w:t>
      </w:r>
      <w:proofErr w:type="gramEnd"/>
      <w:r>
        <w:t xml:space="preserve">: current is pulled (holes are pulled, electrons are injected) to make the potential more negative than resting.  The result is typically a </w:t>
      </w:r>
      <w:r>
        <w:rPr>
          <w:b/>
          <w:bCs/>
        </w:rPr>
        <w:t>graded response</w:t>
      </w:r>
      <w:r>
        <w:t xml:space="preserve">, in which the membrane adjusts to accommodate the new electrical state.  Higher injection rate, higher deviation from the non-current </w:t>
      </w:r>
      <w:proofErr w:type="gramStart"/>
      <w:r>
        <w:t>resting  potential</w:t>
      </w:r>
      <w:proofErr w:type="gramEnd"/>
      <w:r>
        <w:t>.</w:t>
      </w:r>
    </w:p>
    <w:p w:rsidR="00E62388" w:rsidRDefault="00E62388">
      <w:pPr>
        <w:pStyle w:val="LectureNotesNormal"/>
      </w:pPr>
      <w:proofErr w:type="gramStart"/>
      <w:r>
        <w:rPr>
          <w:u w:val="single"/>
        </w:rPr>
        <w:t>depolarization</w:t>
      </w:r>
      <w:proofErr w:type="gramEnd"/>
      <w:r>
        <w:t xml:space="preserve">: current is pushed (holes injected, electrons pulled) to raise the intracellular voltage.  In some cells, this is met with a graded response. In electrically excitable cells, this is met with a stereotypical excursion, the </w:t>
      </w:r>
      <w:r>
        <w:rPr>
          <w:b/>
          <w:bCs/>
        </w:rPr>
        <w:t>action potential</w:t>
      </w:r>
    </w:p>
    <w:p w:rsidR="00E62388" w:rsidRDefault="00E62388">
      <w:pPr>
        <w:pStyle w:val="LectureNotesNormal"/>
      </w:pPr>
      <w:r>
        <w:t>There are many, many, many manipulations that can happen using the patch clamp technique, but we’ll first consider the case in which a current is injected to initiate the action potential, then voltage is watched to follow the cell membrane behavior.  The stereotypic voltage, read at a single position of the membrane, is shown below:</w:t>
      </w:r>
    </w:p>
    <w:p w:rsidR="00E62388" w:rsidRDefault="00E62388">
      <w:pPr>
        <w:pStyle w:val="LectureNotesNormal"/>
      </w:pPr>
      <w:r>
        <w:t>It consists of multiple phases, including:</w:t>
      </w:r>
    </w:p>
    <w:p w:rsidR="00E62388" w:rsidRDefault="00FE272E">
      <w:pPr>
        <w:pStyle w:val="LectureNotesNormal"/>
      </w:pPr>
      <w:r>
        <w:rPr>
          <w:noProof/>
          <w:sz w:val="20"/>
        </w:rPr>
        <w:drawing>
          <wp:anchor distT="0" distB="0" distL="114300" distR="114300" simplePos="0" relativeHeight="251656704" behindDoc="0" locked="0" layoutInCell="1" allowOverlap="1">
            <wp:simplePos x="0" y="0"/>
            <wp:positionH relativeFrom="column">
              <wp:posOffset>4127500</wp:posOffset>
            </wp:positionH>
            <wp:positionV relativeFrom="paragraph">
              <wp:posOffset>129540</wp:posOffset>
            </wp:positionV>
            <wp:extent cx="2016760" cy="2057400"/>
            <wp:effectExtent l="0" t="0" r="2540" b="0"/>
            <wp:wrapSquare wrapText="bothSides"/>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16760" cy="2057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62388">
        <w:t>Depolarization and Threshold: when the membrane voltage crosses this level, the voltage now takes off precipitously towards higher voltages.</w:t>
      </w:r>
    </w:p>
    <w:p w:rsidR="00E62388" w:rsidRDefault="00E62388">
      <w:pPr>
        <w:pStyle w:val="LectureNotesNormal"/>
      </w:pPr>
      <w:r>
        <w:t>Peak: at some point, the voltage peaks, then begins to become more negative.  The peak voltage is often greater than zero.</w:t>
      </w:r>
    </w:p>
    <w:p w:rsidR="00E62388" w:rsidRDefault="00E62388">
      <w:pPr>
        <w:pStyle w:val="LectureNotesNormal"/>
      </w:pPr>
      <w:r>
        <w:t xml:space="preserve">Repolarization: Voltage drives back towards resting, with several </w:t>
      </w:r>
      <w:proofErr w:type="spellStart"/>
      <w:r>
        <w:t>subphases</w:t>
      </w:r>
      <w:proofErr w:type="spellEnd"/>
      <w:r>
        <w:t>.  The final potential is often lower than the initial resting potential; this is called hyperpolarization.</w:t>
      </w:r>
    </w:p>
    <w:p w:rsidR="00E62388" w:rsidRDefault="00E62388">
      <w:pPr>
        <w:pStyle w:val="LectureNotesNormal"/>
        <w:rPr>
          <w:noProof/>
          <w:sz w:val="20"/>
        </w:rPr>
      </w:pPr>
      <w:r>
        <w:t xml:space="preserve">The duration of this entire sequence can range from a few milliseconds to something on the order of a second, depending on the specific cell type, species, </w:t>
      </w:r>
      <w:proofErr w:type="gramStart"/>
      <w:r>
        <w:t>pathology</w:t>
      </w:r>
      <w:proofErr w:type="gramEnd"/>
      <w:r>
        <w:t>.  The specific levels that these voltages correspond to can also vary with any of a huge range of variables.</w:t>
      </w:r>
    </w:p>
    <w:p w:rsidR="00E62388" w:rsidRDefault="00FE272E">
      <w:pPr>
        <w:pStyle w:val="LectureNotesNormal"/>
      </w:pPr>
      <w:r>
        <w:rPr>
          <w:noProof/>
          <w:sz w:val="20"/>
        </w:rPr>
        <w:drawing>
          <wp:anchor distT="0" distB="0" distL="114300" distR="114300" simplePos="0" relativeHeight="251658752" behindDoc="0" locked="0" layoutInCell="1" allowOverlap="0">
            <wp:simplePos x="0" y="0"/>
            <wp:positionH relativeFrom="column">
              <wp:posOffset>4229100</wp:posOffset>
            </wp:positionH>
            <wp:positionV relativeFrom="paragraph">
              <wp:posOffset>99695</wp:posOffset>
            </wp:positionV>
            <wp:extent cx="1833245" cy="1250950"/>
            <wp:effectExtent l="0" t="0" r="0" b="6350"/>
            <wp:wrapSquare wrapText="bothSides"/>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33245" cy="1250950"/>
                    </a:xfrm>
                    <a:prstGeom prst="rect">
                      <a:avLst/>
                    </a:prstGeom>
                    <a:noFill/>
                    <a:ln>
                      <a:noFill/>
                    </a:ln>
                  </pic:spPr>
                </pic:pic>
              </a:graphicData>
            </a:graphic>
            <wp14:sizeRelH relativeFrom="page">
              <wp14:pctWidth>0</wp14:pctWidth>
            </wp14:sizeRelH>
            <wp14:sizeRelV relativeFrom="page">
              <wp14:pctHeight>0</wp14:pctHeight>
            </wp14:sizeRelV>
          </wp:anchor>
        </w:drawing>
      </w:r>
      <w:r w:rsidR="00E62388">
        <w:t>This feature travels at 5-25 m/s. At any given point, an AP in squid axon is only a few milliseconds. Thus, the entire feature has an extent on the order of millimeters to centimeters.</w:t>
      </w:r>
    </w:p>
    <w:p w:rsidR="00E62388" w:rsidRDefault="00E62388">
      <w:pPr>
        <w:pStyle w:val="LectureNotesNormal"/>
      </w:pPr>
      <w:r>
        <w:t>In the absolute refractory period, another action potential simply cannot be initiated. In the relative refractory period, it is possible to initiate a new action potential, but requires more current/duration.</w:t>
      </w:r>
    </w:p>
    <w:p w:rsidR="00E62388" w:rsidRDefault="00E62388">
      <w:pPr>
        <w:pStyle w:val="LectureNotesNormal"/>
      </w:pPr>
      <w:r>
        <w:t xml:space="preserve">Our goal here is to explore some of the molecular aspects of this </w:t>
      </w:r>
      <w:r>
        <w:lastRenderedPageBreak/>
        <w:t>relative to our discussion on membranes, specific implementations in specific physiological systems, including the propagating nature of this in neurons, is the domain of QPII.</w:t>
      </w:r>
    </w:p>
    <w:p w:rsidR="00E62388" w:rsidRDefault="00E62388">
      <w:pPr>
        <w:pStyle w:val="LectureNotesNormal"/>
      </w:pPr>
      <w:r>
        <w:t xml:space="preserve">Much of the pioneering work was done in the giant squid axon, due to </w:t>
      </w:r>
      <w:proofErr w:type="spellStart"/>
      <w:proofErr w:type="gramStart"/>
      <w:r>
        <w:t>it’s</w:t>
      </w:r>
      <w:proofErr w:type="spellEnd"/>
      <w:proofErr w:type="gramEnd"/>
      <w:r>
        <w:t xml:space="preserve"> size and accessibility. The ion composition in this system is a bit different than the mammalian cell, but Nernst potentials are quite close:</w:t>
      </w: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60"/>
        <w:gridCol w:w="1518"/>
        <w:gridCol w:w="1750"/>
        <w:gridCol w:w="1679"/>
      </w:tblGrid>
      <w:tr w:rsidR="00E62388">
        <w:trPr>
          <w:cantSplit/>
        </w:trPr>
        <w:tc>
          <w:tcPr>
            <w:tcW w:w="2660" w:type="dxa"/>
          </w:tcPr>
          <w:p w:rsidR="00E62388" w:rsidRDefault="00E62388">
            <w:r>
              <w:t>Ion</w:t>
            </w:r>
          </w:p>
        </w:tc>
        <w:tc>
          <w:tcPr>
            <w:tcW w:w="4947" w:type="dxa"/>
            <w:gridSpan w:val="3"/>
          </w:tcPr>
          <w:p w:rsidR="00E62388" w:rsidRDefault="00E62388">
            <w:pPr>
              <w:pStyle w:val="IndexHeading"/>
            </w:pPr>
            <w:r>
              <w:t>concentration (</w:t>
            </w:r>
            <w:proofErr w:type="spellStart"/>
            <w:r>
              <w:t>mM</w:t>
            </w:r>
            <w:proofErr w:type="spellEnd"/>
            <w:r>
              <w:t>)</w:t>
            </w:r>
          </w:p>
        </w:tc>
      </w:tr>
      <w:tr w:rsidR="00E62388">
        <w:tc>
          <w:tcPr>
            <w:tcW w:w="2660" w:type="dxa"/>
          </w:tcPr>
          <w:p w:rsidR="00E62388" w:rsidRDefault="00E62388"/>
        </w:tc>
        <w:tc>
          <w:tcPr>
            <w:tcW w:w="1518" w:type="dxa"/>
          </w:tcPr>
          <w:p w:rsidR="00E62388" w:rsidRDefault="00E62388">
            <w:r>
              <w:t>interstitial space</w:t>
            </w:r>
          </w:p>
        </w:tc>
        <w:tc>
          <w:tcPr>
            <w:tcW w:w="1750" w:type="dxa"/>
          </w:tcPr>
          <w:p w:rsidR="00E62388" w:rsidRDefault="00E62388">
            <w:r>
              <w:t>cell (“typical”)</w:t>
            </w:r>
          </w:p>
        </w:tc>
        <w:tc>
          <w:tcPr>
            <w:tcW w:w="1679" w:type="dxa"/>
          </w:tcPr>
          <w:p w:rsidR="00E62388" w:rsidRDefault="00E62388">
            <w:proofErr w:type="spellStart"/>
            <w:r>
              <w:t>V</w:t>
            </w:r>
            <w:r>
              <w:rPr>
                <w:vertAlign w:val="superscript"/>
              </w:rPr>
              <w:t>nernst</w:t>
            </w:r>
            <w:proofErr w:type="spellEnd"/>
            <w:r>
              <w:t xml:space="preserve"> (mV)</w:t>
            </w:r>
          </w:p>
        </w:tc>
      </w:tr>
      <w:tr w:rsidR="00E62388">
        <w:tc>
          <w:tcPr>
            <w:tcW w:w="2660" w:type="dxa"/>
          </w:tcPr>
          <w:p w:rsidR="00E62388" w:rsidRDefault="00E62388">
            <w:pPr>
              <w:rPr>
                <w:vertAlign w:val="subscript"/>
              </w:rPr>
            </w:pPr>
            <w:r>
              <w:t>Na</w:t>
            </w:r>
            <w:r>
              <w:rPr>
                <w:vertAlign w:val="superscript"/>
              </w:rPr>
              <w:t>+</w:t>
            </w:r>
            <w:r>
              <w:rPr>
                <w:vertAlign w:val="subscript"/>
              </w:rPr>
              <w:t xml:space="preserve">, </w:t>
            </w:r>
            <w:r>
              <w:t>mammalian cell</w:t>
            </w:r>
          </w:p>
        </w:tc>
        <w:tc>
          <w:tcPr>
            <w:tcW w:w="1518" w:type="dxa"/>
          </w:tcPr>
          <w:p w:rsidR="00E62388" w:rsidRDefault="00E62388">
            <w:pPr>
              <w:jc w:val="center"/>
            </w:pPr>
            <w:r>
              <w:t>145</w:t>
            </w:r>
          </w:p>
        </w:tc>
        <w:tc>
          <w:tcPr>
            <w:tcW w:w="1750" w:type="dxa"/>
          </w:tcPr>
          <w:p w:rsidR="00E62388" w:rsidRDefault="00E62388">
            <w:pPr>
              <w:jc w:val="center"/>
            </w:pPr>
            <w:r>
              <w:t>15</w:t>
            </w:r>
          </w:p>
        </w:tc>
        <w:tc>
          <w:tcPr>
            <w:tcW w:w="1679" w:type="dxa"/>
          </w:tcPr>
          <w:p w:rsidR="00E62388" w:rsidRDefault="00E62388">
            <w:pPr>
              <w:jc w:val="center"/>
            </w:pPr>
            <w:r>
              <w:t>+59 (37C)</w:t>
            </w:r>
          </w:p>
        </w:tc>
      </w:tr>
      <w:tr w:rsidR="00E62388">
        <w:tc>
          <w:tcPr>
            <w:tcW w:w="2660" w:type="dxa"/>
          </w:tcPr>
          <w:p w:rsidR="00E62388" w:rsidRDefault="00E62388">
            <w:r>
              <w:t>K</w:t>
            </w:r>
            <w:r>
              <w:rPr>
                <w:vertAlign w:val="superscript"/>
              </w:rPr>
              <w:t>+</w:t>
            </w:r>
            <w:r>
              <w:t>, mammalian cell</w:t>
            </w:r>
          </w:p>
        </w:tc>
        <w:tc>
          <w:tcPr>
            <w:tcW w:w="1518" w:type="dxa"/>
          </w:tcPr>
          <w:p w:rsidR="00E62388" w:rsidRDefault="00E62388">
            <w:pPr>
              <w:jc w:val="center"/>
            </w:pPr>
            <w:r>
              <w:t>4.5</w:t>
            </w:r>
          </w:p>
        </w:tc>
        <w:tc>
          <w:tcPr>
            <w:tcW w:w="1750" w:type="dxa"/>
          </w:tcPr>
          <w:p w:rsidR="00E62388" w:rsidRDefault="00E62388">
            <w:pPr>
              <w:jc w:val="center"/>
            </w:pPr>
            <w:r>
              <w:t>120</w:t>
            </w:r>
          </w:p>
        </w:tc>
        <w:tc>
          <w:tcPr>
            <w:tcW w:w="1679" w:type="dxa"/>
          </w:tcPr>
          <w:p w:rsidR="00E62388" w:rsidRDefault="00E62388">
            <w:pPr>
              <w:jc w:val="center"/>
            </w:pPr>
            <w:r>
              <w:t>-71 (37C)</w:t>
            </w:r>
          </w:p>
        </w:tc>
      </w:tr>
      <w:tr w:rsidR="00E62388">
        <w:tc>
          <w:tcPr>
            <w:tcW w:w="2660" w:type="dxa"/>
          </w:tcPr>
          <w:p w:rsidR="00E62388" w:rsidRDefault="00E62388">
            <w:r>
              <w:t>Na</w:t>
            </w:r>
            <w:r>
              <w:rPr>
                <w:vertAlign w:val="superscript"/>
              </w:rPr>
              <w:t>+</w:t>
            </w:r>
            <w:r>
              <w:t>, squid giant axon</w:t>
            </w:r>
          </w:p>
        </w:tc>
        <w:tc>
          <w:tcPr>
            <w:tcW w:w="1518" w:type="dxa"/>
          </w:tcPr>
          <w:p w:rsidR="00E62388" w:rsidRDefault="00E62388">
            <w:pPr>
              <w:jc w:val="center"/>
            </w:pPr>
            <w:r>
              <w:t>440</w:t>
            </w:r>
          </w:p>
        </w:tc>
        <w:tc>
          <w:tcPr>
            <w:tcW w:w="1750" w:type="dxa"/>
          </w:tcPr>
          <w:p w:rsidR="00E62388" w:rsidRDefault="00E62388">
            <w:pPr>
              <w:pStyle w:val="Equations"/>
              <w:spacing w:after="60"/>
            </w:pPr>
            <w:r>
              <w:t>50</w:t>
            </w:r>
          </w:p>
        </w:tc>
        <w:tc>
          <w:tcPr>
            <w:tcW w:w="1679" w:type="dxa"/>
          </w:tcPr>
          <w:p w:rsidR="00E62388" w:rsidRDefault="00E62388">
            <w:pPr>
              <w:pStyle w:val="Equations"/>
              <w:spacing w:after="60"/>
            </w:pPr>
            <w:r>
              <w:t>+54 (15C)</w:t>
            </w:r>
          </w:p>
        </w:tc>
      </w:tr>
      <w:tr w:rsidR="00E62388">
        <w:tc>
          <w:tcPr>
            <w:tcW w:w="2660" w:type="dxa"/>
          </w:tcPr>
          <w:p w:rsidR="00E62388" w:rsidRDefault="00E62388">
            <w:pPr>
              <w:rPr>
                <w:vertAlign w:val="superscript"/>
              </w:rPr>
            </w:pPr>
            <w:r>
              <w:t>K</w:t>
            </w:r>
            <w:r>
              <w:rPr>
                <w:vertAlign w:val="superscript"/>
              </w:rPr>
              <w:t>+</w:t>
            </w:r>
            <w:r>
              <w:t>, squid giant axon</w:t>
            </w:r>
          </w:p>
        </w:tc>
        <w:tc>
          <w:tcPr>
            <w:tcW w:w="1518" w:type="dxa"/>
          </w:tcPr>
          <w:p w:rsidR="00E62388" w:rsidRDefault="00E62388">
            <w:pPr>
              <w:jc w:val="center"/>
            </w:pPr>
            <w:r>
              <w:t>20</w:t>
            </w:r>
          </w:p>
        </w:tc>
        <w:tc>
          <w:tcPr>
            <w:tcW w:w="1750" w:type="dxa"/>
          </w:tcPr>
          <w:p w:rsidR="00E62388" w:rsidRDefault="00E62388">
            <w:pPr>
              <w:jc w:val="center"/>
            </w:pPr>
            <w:r>
              <w:t>400</w:t>
            </w:r>
          </w:p>
        </w:tc>
        <w:tc>
          <w:tcPr>
            <w:tcW w:w="1679" w:type="dxa"/>
          </w:tcPr>
          <w:p w:rsidR="00E62388" w:rsidRDefault="00E62388">
            <w:pPr>
              <w:jc w:val="center"/>
            </w:pPr>
            <w:r>
              <w:t>-75 (15C)</w:t>
            </w:r>
          </w:p>
        </w:tc>
      </w:tr>
    </w:tbl>
    <w:p w:rsidR="00E62388" w:rsidRDefault="00E62388">
      <w:pPr>
        <w:pStyle w:val="LectureNotesNormal"/>
        <w:numPr>
          <w:ilvl w:val="0"/>
          <w:numId w:val="27"/>
        </w:numPr>
      </w:pPr>
      <w:r>
        <w:t>As we have been discussing, the resting potential suggests that the cell is not at equilibrium, but close to the Nernst potential for K</w:t>
      </w:r>
      <w:r>
        <w:rPr>
          <w:vertAlign w:val="superscript"/>
        </w:rPr>
        <w:t>+</w:t>
      </w:r>
      <w:r>
        <w:t xml:space="preserve">. This source of the resting potential was proposed by Bernstein, </w:t>
      </w:r>
      <w:r>
        <w:rPr>
          <w:b/>
          <w:bCs/>
        </w:rPr>
        <w:t>1902</w:t>
      </w:r>
      <w:r>
        <w:t>, followed by the idea that the membrane becomes permeable to all ions during an action potential.</w:t>
      </w:r>
    </w:p>
    <w:p w:rsidR="00E62388" w:rsidRDefault="00E62388">
      <w:pPr>
        <w:pStyle w:val="LectureNotesNormal"/>
        <w:numPr>
          <w:ilvl w:val="0"/>
          <w:numId w:val="27"/>
        </w:numPr>
      </w:pPr>
      <w:proofErr w:type="gramStart"/>
      <w:r>
        <w:t>late</w:t>
      </w:r>
      <w:proofErr w:type="gramEnd"/>
      <w:r>
        <w:t xml:space="preserve"> 1930’s, Cole &amp; Curtis, and demonstrated that action potentials are associated with an increased conduction.</w:t>
      </w:r>
    </w:p>
    <w:p w:rsidR="00E62388" w:rsidRDefault="00E62388">
      <w:pPr>
        <w:pStyle w:val="LectureNotesNormal"/>
        <w:numPr>
          <w:ilvl w:val="0"/>
          <w:numId w:val="27"/>
        </w:numPr>
      </w:pPr>
      <w:r>
        <w:t xml:space="preserve">Later, Cole&amp; Curtis, and simultaneously by </w:t>
      </w:r>
      <w:proofErr w:type="spellStart"/>
      <w:r>
        <w:t>Hodgin</w:t>
      </w:r>
      <w:proofErr w:type="spellEnd"/>
      <w:r>
        <w:t xml:space="preserve"> &amp; Huxley, measured the transmembrane voltage, and found that it actually crossed zero, going to near +40mV, near that for Sodium.  This sets that idea that sodium permeability may be important</w:t>
      </w:r>
    </w:p>
    <w:p w:rsidR="00E62388" w:rsidRDefault="00E62388">
      <w:pPr>
        <w:pStyle w:val="LectureNotesNormal"/>
        <w:numPr>
          <w:ilvl w:val="0"/>
          <w:numId w:val="27"/>
        </w:numPr>
      </w:pPr>
      <w:r>
        <w:t xml:space="preserve">1940s, </w:t>
      </w:r>
      <w:proofErr w:type="spellStart"/>
      <w:r>
        <w:t>Hodkin</w:t>
      </w:r>
      <w:proofErr w:type="spellEnd"/>
      <w:r>
        <w:t xml:space="preserve"> &amp; Katz show that altering the external Na</w:t>
      </w:r>
      <w:r>
        <w:rPr>
          <w:vertAlign w:val="superscript"/>
        </w:rPr>
        <w:t xml:space="preserve">+ </w:t>
      </w:r>
      <w:r>
        <w:t xml:space="preserve">concentration (bringing it down from seawater, but maintaining </w:t>
      </w:r>
      <w:proofErr w:type="spellStart"/>
      <w:r>
        <w:t>electroneutrality</w:t>
      </w:r>
      <w:proofErr w:type="spellEnd"/>
      <w:r>
        <w:t>), altering action potential shape (see graph).</w:t>
      </w:r>
    </w:p>
    <w:p w:rsidR="00E62388" w:rsidRDefault="00E62388">
      <w:pPr>
        <w:pStyle w:val="LectureNotesNormal"/>
      </w:pPr>
    </w:p>
    <w:p w:rsidR="00E62388" w:rsidRDefault="00E62388">
      <w:pPr>
        <w:pStyle w:val="LectureNotesNormal"/>
      </w:pPr>
    </w:p>
    <w:p w:rsidR="00E62388" w:rsidRDefault="00FE272E">
      <w:pPr>
        <w:pStyle w:val="LectureNotesNormal"/>
        <w:jc w:val="center"/>
      </w:pPr>
      <w:r>
        <w:rPr>
          <w:noProof/>
        </w:rPr>
        <w:drawing>
          <wp:inline distT="0" distB="0" distL="0" distR="0">
            <wp:extent cx="3035935" cy="2055495"/>
            <wp:effectExtent l="0" t="0" r="0" b="1905"/>
            <wp:docPr id="1" name="Picture 1" descr="ap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n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35935" cy="2055495"/>
                    </a:xfrm>
                    <a:prstGeom prst="rect">
                      <a:avLst/>
                    </a:prstGeom>
                    <a:noFill/>
                    <a:ln>
                      <a:noFill/>
                    </a:ln>
                  </pic:spPr>
                </pic:pic>
              </a:graphicData>
            </a:graphic>
          </wp:inline>
        </w:drawing>
      </w:r>
    </w:p>
    <w:p w:rsidR="00E62388" w:rsidRDefault="00E62388">
      <w:pPr>
        <w:pStyle w:val="LectureNotesNormal"/>
      </w:pPr>
      <w:r>
        <w:t>Additional pharmacological approaches elucidate properties of the sodium and potassium channels. Note that current has a total current and ionic current. The initial peak corresponds to capacitor charge/discharge, while the remainder of the curve, in the patch clamp experiment, corresponds to ionic currents.</w:t>
      </w:r>
    </w:p>
    <w:p w:rsidR="00E62388" w:rsidRDefault="00E62388">
      <w:pPr>
        <w:pStyle w:val="LectureNotesNormal"/>
      </w:pPr>
    </w:p>
    <w:p w:rsidR="00E62388" w:rsidRDefault="00E62388">
      <w:pPr>
        <w:pStyle w:val="LectureNotesNormal"/>
      </w:pPr>
    </w:p>
    <w:p w:rsidR="00E62388" w:rsidRDefault="00E62388">
      <w:pPr>
        <w:pStyle w:val="LectureNotesNormal"/>
      </w:pPr>
      <w:r>
        <w:t>Note that these experiments show:</w:t>
      </w:r>
    </w:p>
    <w:p w:rsidR="00E62388" w:rsidRDefault="00E62388">
      <w:pPr>
        <w:pStyle w:val="LectureNotesNormal"/>
        <w:numPr>
          <w:ilvl w:val="0"/>
          <w:numId w:val="27"/>
        </w:numPr>
      </w:pPr>
      <w:r>
        <w:t xml:space="preserve">Sodium conductance is dependent on voltage, with a sharp increase at –30, but looking like </w:t>
      </w:r>
      <w:proofErr w:type="spellStart"/>
      <w:r>
        <w:t>ohmic</w:t>
      </w:r>
      <w:proofErr w:type="spellEnd"/>
      <w:r>
        <w:t xml:space="preserve"> conduction later. Also, more </w:t>
      </w:r>
      <w:proofErr w:type="gramStart"/>
      <w:r>
        <w:t>conductance</w:t>
      </w:r>
      <w:proofErr w:type="gramEnd"/>
      <w:r>
        <w:t xml:space="preserve"> with higher voltage.</w:t>
      </w:r>
    </w:p>
    <w:p w:rsidR="00E62388" w:rsidRDefault="00E62388">
      <w:pPr>
        <w:pStyle w:val="LectureNotesNormal"/>
        <w:numPr>
          <w:ilvl w:val="0"/>
          <w:numId w:val="27"/>
        </w:numPr>
      </w:pPr>
      <w:r>
        <w:t>Sodium conductance is time limited.</w:t>
      </w:r>
    </w:p>
    <w:p w:rsidR="00E62388" w:rsidRDefault="00E62388">
      <w:pPr>
        <w:pStyle w:val="LectureNotesNormal"/>
        <w:numPr>
          <w:ilvl w:val="0"/>
          <w:numId w:val="27"/>
        </w:numPr>
      </w:pPr>
      <w:r>
        <w:t>Potassium conductance appears voltage dependent and slow, but doesn’t automatically close.</w:t>
      </w:r>
    </w:p>
    <w:p w:rsidR="00E62388" w:rsidRDefault="00E62388">
      <w:pPr>
        <w:pStyle w:val="LectureNotesNormal"/>
        <w:ind w:left="0" w:firstLine="0"/>
      </w:pPr>
    </w:p>
    <w:p w:rsidR="00E62388" w:rsidRDefault="00E62388">
      <w:pPr>
        <w:pStyle w:val="LectureNotesNormal"/>
      </w:pPr>
      <w:r>
        <w:t>What was codified by Hodgkin and Huxley (1952) in the squid axon follows:</w:t>
      </w:r>
    </w:p>
    <w:p w:rsidR="00E62388" w:rsidRDefault="00FE272E">
      <w:pPr>
        <w:pStyle w:val="LectureNotesNormal"/>
        <w:jc w:val="center"/>
      </w:pPr>
      <w:r>
        <w:rPr>
          <w:noProof/>
        </w:rPr>
        <w:drawing>
          <wp:inline distT="0" distB="0" distL="0" distR="0">
            <wp:extent cx="4228465" cy="1916430"/>
            <wp:effectExtent l="0" t="0" r="635"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28465" cy="1916430"/>
                    </a:xfrm>
                    <a:prstGeom prst="rect">
                      <a:avLst/>
                    </a:prstGeom>
                    <a:noFill/>
                    <a:ln>
                      <a:noFill/>
                    </a:ln>
                  </pic:spPr>
                </pic:pic>
              </a:graphicData>
            </a:graphic>
          </wp:inline>
        </w:drawing>
      </w:r>
    </w:p>
    <w:p w:rsidR="00E62388" w:rsidRDefault="00E62388">
      <w:pPr>
        <w:pStyle w:val="LectureNotesNormal"/>
      </w:pPr>
      <w:r>
        <w:t>H&amp;H developed a series of time- and voltage-dependent expressions for Na</w:t>
      </w:r>
      <w:r>
        <w:rPr>
          <w:vertAlign w:val="superscript"/>
        </w:rPr>
        <w:t>+</w:t>
      </w:r>
      <w:r>
        <w:t xml:space="preserve"> and K</w:t>
      </w:r>
      <w:r>
        <w:rPr>
          <w:vertAlign w:val="superscript"/>
        </w:rPr>
        <w:t>+</w:t>
      </w:r>
      <w:r>
        <w:t xml:space="preserve"> conductance.  Both K&amp;S and Nelson have good coverage of these equations, but we will stick to a non-quantitative system here.</w:t>
      </w:r>
    </w:p>
    <w:p w:rsidR="00E62388" w:rsidRDefault="00E62388">
      <w:pPr>
        <w:pStyle w:val="LectureNotesNormal"/>
      </w:pPr>
      <w:proofErr w:type="gramStart"/>
      <w:r>
        <w:t>Upon reaching some membrane threshold, Na</w:t>
      </w:r>
      <w:r>
        <w:rPr>
          <w:vertAlign w:val="superscript"/>
        </w:rPr>
        <w:t>+</w:t>
      </w:r>
      <w:r>
        <w:t xml:space="preserve"> conductance increases sharply, and ions flow in.</w:t>
      </w:r>
      <w:proofErr w:type="gramEnd"/>
      <w:r>
        <w:t xml:space="preserve">  At peak, the conductance of Na</w:t>
      </w:r>
      <w:r>
        <w:rPr>
          <w:vertAlign w:val="superscript"/>
        </w:rPr>
        <w:t>+</w:t>
      </w:r>
      <w:r>
        <w:t xml:space="preserve"> increases from ~ 1/20 </w:t>
      </w:r>
      <w:proofErr w:type="spellStart"/>
      <w:r>
        <w:t>g</w:t>
      </w:r>
      <w:r>
        <w:rPr>
          <w:vertAlign w:val="subscript"/>
        </w:rPr>
        <w:t>Ka</w:t>
      </w:r>
      <w:proofErr w:type="spellEnd"/>
      <w:r>
        <w:t xml:space="preserve"> to 20 X </w:t>
      </w:r>
      <w:proofErr w:type="spellStart"/>
      <w:r>
        <w:t>g</w:t>
      </w:r>
      <w:r>
        <w:rPr>
          <w:vertAlign w:val="subscript"/>
        </w:rPr>
        <w:t>Ka</w:t>
      </w:r>
      <w:proofErr w:type="spellEnd"/>
      <w:r>
        <w:t>. This is a positive feedback loop on Na</w:t>
      </w:r>
      <w:r>
        <w:rPr>
          <w:vertAlign w:val="superscript"/>
        </w:rPr>
        <w:t>+</w:t>
      </w:r>
      <w:r>
        <w:t xml:space="preserve"> conductance, leading to a fast rise.</w:t>
      </w:r>
    </w:p>
    <w:p w:rsidR="00E62388" w:rsidRDefault="00E62388">
      <w:pPr>
        <w:pStyle w:val="LectureNotesNormal"/>
      </w:pPr>
      <w:r>
        <w:t>On a longer timescale, potassium conductance increases, and ions flow out.  The peak is at about one millisecond, and extends out to about 2.5 milliseconds.</w:t>
      </w:r>
    </w:p>
    <w:p w:rsidR="00E62388" w:rsidRDefault="00E62388">
      <w:pPr>
        <w:pStyle w:val="LectureNotesNormal"/>
      </w:pPr>
      <w:r>
        <w:t>This potassium flux is what drives the membrane potential back, reaching the K Nernst potential.</w:t>
      </w:r>
    </w:p>
    <w:p w:rsidR="00E62388" w:rsidRDefault="00E62388">
      <w:pPr>
        <w:pStyle w:val="LectureNotesNormal"/>
      </w:pPr>
      <w:r>
        <w:t>The Na</w:t>
      </w:r>
      <w:r>
        <w:rPr>
          <w:vertAlign w:val="superscript"/>
        </w:rPr>
        <w:t>+</w:t>
      </w:r>
      <w:r>
        <w:t xml:space="preserve"> channel is self-limiting in that it closes with time, while the K</w:t>
      </w:r>
      <w:r>
        <w:rPr>
          <w:vertAlign w:val="superscript"/>
        </w:rPr>
        <w:t>+</w:t>
      </w:r>
      <w:r>
        <w:t xml:space="preserve"> channel is not.  The K</w:t>
      </w:r>
      <w:r>
        <w:rPr>
          <w:vertAlign w:val="superscript"/>
        </w:rPr>
        <w:t>+</w:t>
      </w:r>
      <w:r>
        <w:t xml:space="preserve"> channel stay open as long as the voltage is above a certain point.</w:t>
      </w:r>
    </w:p>
    <w:p w:rsidR="00E62388" w:rsidRDefault="00E62388">
      <w:pPr>
        <w:pStyle w:val="LectureNotesNormal"/>
      </w:pPr>
      <w:r>
        <w:t>While the Na</w:t>
      </w:r>
      <w:r>
        <w:rPr>
          <w:vertAlign w:val="superscript"/>
        </w:rPr>
        <w:t>+</w:t>
      </w:r>
      <w:r>
        <w:t xml:space="preserve"> channel is closed, we’re in the absolute refractory period.</w:t>
      </w:r>
    </w:p>
    <w:p w:rsidR="00E62388" w:rsidRDefault="00E62388">
      <w:pPr>
        <w:pStyle w:val="LectureNotesNormal"/>
      </w:pPr>
      <w:r>
        <w:t>While the Na</w:t>
      </w:r>
      <w:r>
        <w:rPr>
          <w:vertAlign w:val="superscript"/>
        </w:rPr>
        <w:t>+</w:t>
      </w:r>
      <w:r>
        <w:t xml:space="preserve"> channel is openable again, but the K</w:t>
      </w:r>
      <w:r>
        <w:rPr>
          <w:vertAlign w:val="superscript"/>
        </w:rPr>
        <w:t>+</w:t>
      </w:r>
      <w:r>
        <w:t xml:space="preserve"> channel is still closing, </w:t>
      </w:r>
    </w:p>
    <w:p w:rsidR="00E62388" w:rsidRDefault="00E62388">
      <w:pPr>
        <w:pStyle w:val="LectureNotesNormal"/>
      </w:pPr>
      <w:r>
        <w:t>This is the basis of excitable membranes.  Remember that this waveform must be a traveling system, but we won’t go into conduction here, this is a topic of QPII.</w:t>
      </w:r>
    </w:p>
    <w:p w:rsidR="00E62388" w:rsidRDefault="00E62388">
      <w:pPr>
        <w:pStyle w:val="Heading1"/>
      </w:pPr>
      <w:r>
        <w:t>Voltage-gated channels</w:t>
      </w:r>
    </w:p>
    <w:p w:rsidR="00E62388" w:rsidRDefault="00E62388">
      <w:r>
        <w:t xml:space="preserve">B&amp;B has a good discussion on the various families </w:t>
      </w:r>
      <w:proofErr w:type="gramStart"/>
      <w:r>
        <w:t>of  channels</w:t>
      </w:r>
      <w:proofErr w:type="gramEnd"/>
      <w:r>
        <w:t xml:space="preserve"> that give rise to this behavior.</w:t>
      </w:r>
    </w:p>
    <w:p w:rsidR="00E62388" w:rsidRDefault="00E62388">
      <w:r>
        <w:t>Some mechanisms:</w:t>
      </w:r>
    </w:p>
    <w:p w:rsidR="00E62388" w:rsidRDefault="00FE272E">
      <w:r>
        <w:rPr>
          <w:noProof/>
        </w:rPr>
        <w:lastRenderedPageBreak/>
        <w:drawing>
          <wp:inline distT="0" distB="0" distL="0" distR="0">
            <wp:extent cx="5486400" cy="2202180"/>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6400" cy="2202180"/>
                    </a:xfrm>
                    <a:prstGeom prst="rect">
                      <a:avLst/>
                    </a:prstGeom>
                    <a:noFill/>
                    <a:ln>
                      <a:noFill/>
                    </a:ln>
                  </pic:spPr>
                </pic:pic>
              </a:graphicData>
            </a:graphic>
          </wp:inline>
        </w:drawing>
      </w:r>
    </w:p>
    <w:p w:rsidR="00E62388" w:rsidRDefault="00E62388">
      <w:r>
        <w:t>K</w:t>
      </w:r>
      <w:r>
        <w:rPr>
          <w:vertAlign w:val="superscript"/>
        </w:rPr>
        <w:t>+</w:t>
      </w:r>
      <w:r>
        <w:t xml:space="preserve"> channels in the Shaker fruit fly, 1987. Pink region (called P region, no relation) dictates specificity.  The charged helices are believed to be the voltage sensor, and can move up and down in the plane of the membrane.  </w:t>
      </w:r>
    </w:p>
    <w:p w:rsidR="00E62388" w:rsidRDefault="00E62388">
      <w:r>
        <w:t>In addition, Na</w:t>
      </w:r>
      <w:r>
        <w:rPr>
          <w:vertAlign w:val="superscript"/>
        </w:rPr>
        <w:t>+</w:t>
      </w:r>
      <w:r>
        <w:t xml:space="preserve"> channels have an inactivating mechanism. See B&amp;B, chapter </w:t>
      </w:r>
      <w:proofErr w:type="gramStart"/>
      <w:r>
        <w:t>7 ,</w:t>
      </w:r>
      <w:proofErr w:type="gramEnd"/>
      <w:r>
        <w:t xml:space="preserve"> for more details, in addition, some information on getting the crystal structure of these.</w:t>
      </w:r>
    </w:p>
    <w:p w:rsidR="00E62388" w:rsidRDefault="00FE272E">
      <w:pPr>
        <w:pStyle w:val="Equations"/>
      </w:pPr>
      <w:r>
        <w:rPr>
          <w:noProof/>
        </w:rPr>
        <w:drawing>
          <wp:inline distT="0" distB="0" distL="0" distR="0">
            <wp:extent cx="3730625" cy="1982470"/>
            <wp:effectExtent l="0" t="0" r="317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30625" cy="1982470"/>
                    </a:xfrm>
                    <a:prstGeom prst="rect">
                      <a:avLst/>
                    </a:prstGeom>
                    <a:noFill/>
                    <a:ln>
                      <a:noFill/>
                    </a:ln>
                  </pic:spPr>
                </pic:pic>
              </a:graphicData>
            </a:graphic>
          </wp:inline>
        </w:drawing>
      </w:r>
    </w:p>
    <w:p w:rsidR="00E62388" w:rsidRDefault="00E62388">
      <w:pPr>
        <w:pStyle w:val="Heading1"/>
      </w:pPr>
      <w:r>
        <w:t>Traveling action potentials and more beyond this course:</w:t>
      </w:r>
    </w:p>
    <w:p w:rsidR="00E62388" w:rsidRDefault="00E62388">
      <w:pPr>
        <w:pStyle w:val="LectureNotesNormal"/>
      </w:pPr>
      <w:r>
        <w:t>One thing we’re not covering here is how potentials get propagated. This will be covered in detail more in QPII, and falls to the realm of cable theory.  B&amp;B does a good job with linear cable theory, enough for most of our purposes.  P. Nelson (Chapter 12) goes further with a nice discussion on non-linear cable theory, giving rise to a traveling action potential.  K&amp;S goes even further, with a good coverage of the Hodgkin-Huxley equations in section 4.1, as well as extensions of this system.</w:t>
      </w:r>
    </w:p>
    <w:p w:rsidR="00D9729C" w:rsidRDefault="00D9729C" w:rsidP="00D9729C">
      <w:pPr>
        <w:pStyle w:val="Heading1"/>
      </w:pPr>
      <w:r>
        <w:t xml:space="preserve">How fast does membrane voltage change? </w:t>
      </w:r>
      <w:proofErr w:type="gramStart"/>
      <w:r>
        <w:t>Electrical circuit of the cell membrane.</w:t>
      </w:r>
      <w:proofErr w:type="gramEnd"/>
    </w:p>
    <w:p w:rsidR="00D9729C" w:rsidRDefault="00D9729C" w:rsidP="00D9729C">
      <w:pPr>
        <w:pStyle w:val="LectureNotesNormal"/>
      </w:pPr>
      <w:r>
        <w:t xml:space="preserve">Effectively, the membrane can be viewed as a capacitor; charges separated by a dielectric material (not water, but </w:t>
      </w:r>
      <w:proofErr w:type="gramStart"/>
      <w:r>
        <w:t>an oil</w:t>
      </w:r>
      <w:proofErr w:type="gramEnd"/>
      <w:r>
        <w:t>). It will be included in our larger schematic of the membrane in the following manner:</w:t>
      </w:r>
    </w:p>
    <w:p w:rsidR="00D9729C" w:rsidRDefault="00FE272E" w:rsidP="00D9729C">
      <w:pPr>
        <w:pStyle w:val="LectureNotesNormal"/>
        <w:jc w:val="center"/>
      </w:pPr>
      <w:r>
        <w:rPr>
          <w:noProof/>
        </w:rPr>
        <w:lastRenderedPageBreak/>
        <w:drawing>
          <wp:inline distT="0" distB="0" distL="0" distR="0">
            <wp:extent cx="5494020" cy="217233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94020" cy="2172335"/>
                    </a:xfrm>
                    <a:prstGeom prst="rect">
                      <a:avLst/>
                    </a:prstGeom>
                    <a:noFill/>
                    <a:ln>
                      <a:noFill/>
                    </a:ln>
                  </pic:spPr>
                </pic:pic>
              </a:graphicData>
            </a:graphic>
          </wp:inline>
        </w:drawing>
      </w:r>
    </w:p>
    <w:p w:rsidR="00D9729C" w:rsidRDefault="00D9729C" w:rsidP="00D9729C">
      <w:pPr>
        <w:pStyle w:val="LectureNotesNormal"/>
      </w:pPr>
      <w:r>
        <w:t xml:space="preserve">In our upcoming discussions, we’re going to look at how this system changes as </w:t>
      </w:r>
      <w:proofErr w:type="spellStart"/>
      <w:r>
        <w:t>conductances</w:t>
      </w:r>
      <w:proofErr w:type="spellEnd"/>
      <w:r>
        <w:t xml:space="preserve"> change. The capacitance is a big player in this.</w:t>
      </w:r>
    </w:p>
    <w:p w:rsidR="00D9729C" w:rsidRDefault="00D9729C" w:rsidP="00D9729C">
      <w:pPr>
        <w:pStyle w:val="LectureNotesNormal"/>
      </w:pPr>
      <w:r>
        <w:t>First start with a simplified system:</w:t>
      </w:r>
    </w:p>
    <w:p w:rsidR="00D9729C" w:rsidRDefault="00D9729C" w:rsidP="00D9729C">
      <w:pPr>
        <w:pStyle w:val="Heading1"/>
      </w:pPr>
      <w:r>
        <w:t>The circuit:</w:t>
      </w:r>
    </w:p>
    <w:p w:rsidR="006041FD" w:rsidRPr="006041FD" w:rsidRDefault="00FE272E" w:rsidP="006041FD">
      <w:pPr>
        <w:pStyle w:val="Heading1"/>
      </w:pPr>
      <w:r>
        <w:rPr>
          <w:noProof/>
        </w:rPr>
        <w:drawing>
          <wp:inline distT="0" distB="0" distL="0" distR="0">
            <wp:extent cx="4118610" cy="14922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18610" cy="1492250"/>
                    </a:xfrm>
                    <a:prstGeom prst="rect">
                      <a:avLst/>
                    </a:prstGeom>
                    <a:noFill/>
                    <a:ln>
                      <a:noFill/>
                    </a:ln>
                  </pic:spPr>
                </pic:pic>
              </a:graphicData>
            </a:graphic>
          </wp:inline>
        </w:drawing>
      </w:r>
      <w:r w:rsidR="00D9729C">
        <w:object w:dxaOrig="4522" w:dyaOrig="44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15pt;height:123.25pt" o:ole="" o:allowoverlap="f">
            <v:imagedata r:id="rId15" o:title=""/>
          </v:shape>
          <o:OLEObject Type="Embed" ProgID="Photoshop.Image.4" ShapeID="_x0000_i1025" DrawAspect="Content" ObjectID="_1637235014" r:id="rId16"/>
        </w:object>
      </w:r>
    </w:p>
    <w:p w:rsidR="00D9729C" w:rsidRDefault="00D9729C" w:rsidP="00D9729C">
      <w:pPr>
        <w:pStyle w:val="LectureNotesNormal"/>
        <w:ind w:left="1800" w:firstLine="360"/>
      </w:pPr>
      <w:r>
        <w:t xml:space="preserve"> One representation</w:t>
      </w:r>
      <w:r>
        <w:tab/>
      </w:r>
      <w:r>
        <w:tab/>
        <w:t xml:space="preserve"> </w:t>
      </w:r>
      <w:r>
        <w:tab/>
        <w:t xml:space="preserve">     </w:t>
      </w:r>
      <w:r>
        <w:tab/>
        <w:t xml:space="preserve">    an equivalent one</w:t>
      </w:r>
    </w:p>
    <w:p w:rsidR="00D9729C" w:rsidRDefault="00D9729C" w:rsidP="00D9729C">
      <w:pPr>
        <w:pStyle w:val="LectureNotesNormal"/>
      </w:pPr>
    </w:p>
    <w:p w:rsidR="006041FD" w:rsidRDefault="006041FD" w:rsidP="00D9729C">
      <w:pPr>
        <w:pStyle w:val="LectureNotesNormal"/>
      </w:pPr>
      <w:r>
        <w:t>Let’s solve for a more general case:</w:t>
      </w:r>
    </w:p>
    <w:p w:rsidR="006041FD" w:rsidRPr="006041FD" w:rsidRDefault="00FE272E" w:rsidP="006041FD">
      <w:pPr>
        <w:pStyle w:val="LectureNotesNormal"/>
        <w:jc w:val="center"/>
      </w:pPr>
      <w:r>
        <w:rPr>
          <w:noProof/>
        </w:rPr>
        <w:drawing>
          <wp:inline distT="0" distB="0" distL="0" distR="0">
            <wp:extent cx="2209165" cy="1689735"/>
            <wp:effectExtent l="0" t="0" r="0" b="571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209165" cy="1689735"/>
                    </a:xfrm>
                    <a:prstGeom prst="rect">
                      <a:avLst/>
                    </a:prstGeom>
                    <a:noFill/>
                    <a:ln>
                      <a:noFill/>
                    </a:ln>
                  </pic:spPr>
                </pic:pic>
              </a:graphicData>
            </a:graphic>
          </wp:inline>
        </w:drawing>
      </w:r>
    </w:p>
    <w:p w:rsidR="00D9729C" w:rsidRDefault="00D9729C" w:rsidP="00D9729C">
      <w:pPr>
        <w:pStyle w:val="LectureNotesNormal"/>
      </w:pPr>
      <w:r>
        <w:t>We’ll generalize this for any ion, assuming:</w:t>
      </w:r>
    </w:p>
    <w:p w:rsidR="00D9729C" w:rsidRDefault="00D9729C" w:rsidP="00D9729C">
      <w:pPr>
        <w:pStyle w:val="LectureNotesNormal"/>
        <w:numPr>
          <w:ilvl w:val="0"/>
          <w:numId w:val="30"/>
        </w:numPr>
      </w:pPr>
      <w:r>
        <w:t xml:space="preserve">at </w:t>
      </w:r>
      <w:r w:rsidR="006041FD">
        <w:t>time 0, membrane voltage is V</w:t>
      </w:r>
      <w:r w:rsidR="006041FD">
        <w:rPr>
          <w:vertAlign w:val="subscript"/>
        </w:rPr>
        <w:t>0</w:t>
      </w:r>
    </w:p>
    <w:p w:rsidR="00D9729C" w:rsidRDefault="00D9729C" w:rsidP="00D9729C">
      <w:pPr>
        <w:pStyle w:val="LectureNotesNormal"/>
        <w:numPr>
          <w:ilvl w:val="0"/>
          <w:numId w:val="30"/>
        </w:numPr>
      </w:pPr>
      <w:r>
        <w:t>at time 0, the switch is closed, the potential</w:t>
      </w:r>
      <w:r w:rsidR="006041FD">
        <w:t xml:space="preserve"> “V” is applied</w:t>
      </w:r>
    </w:p>
    <w:p w:rsidR="00D9729C" w:rsidRDefault="00D9729C" w:rsidP="00D9729C">
      <w:pPr>
        <w:pStyle w:val="LectureNotesNormal"/>
        <w:numPr>
          <w:ilvl w:val="0"/>
          <w:numId w:val="30"/>
        </w:numPr>
      </w:pPr>
      <w:r>
        <w:t>How does this system respond?</w:t>
      </w:r>
    </w:p>
    <w:p w:rsidR="00D9729C" w:rsidRDefault="00D9729C" w:rsidP="00D9729C">
      <w:pPr>
        <w:pStyle w:val="LectureNotesNormal"/>
      </w:pPr>
    </w:p>
    <w:p w:rsidR="00D9729C" w:rsidRDefault="006041FD" w:rsidP="00D9729C">
      <w:pPr>
        <w:pStyle w:val="Equations"/>
        <w:rPr>
          <w:vertAlign w:val="subscript"/>
        </w:rPr>
      </w:pPr>
      <w:r w:rsidRPr="00CF4393">
        <w:rPr>
          <w:position w:val="-46"/>
          <w:vertAlign w:val="subscript"/>
        </w:rPr>
        <w:object w:dxaOrig="2700" w:dyaOrig="1040">
          <v:shape id="_x0000_i1026" type="#_x0000_t75" style="width:134.8pt;height:51.85pt" o:ole="">
            <v:imagedata r:id="rId18" o:title=""/>
          </v:shape>
          <o:OLEObject Type="Embed" ProgID="Equation.3" ShapeID="_x0000_i1026" DrawAspect="Content" ObjectID="_1637235015" r:id="rId19"/>
        </w:object>
      </w:r>
    </w:p>
    <w:p w:rsidR="00D9729C" w:rsidRDefault="00D9729C" w:rsidP="00D9729C">
      <w:pPr>
        <w:pStyle w:val="Equations"/>
      </w:pPr>
      <w:r>
        <w:t>Rearranging,</w:t>
      </w:r>
    </w:p>
    <w:p w:rsidR="00D9729C" w:rsidRDefault="00486841" w:rsidP="00D9729C">
      <w:pPr>
        <w:pStyle w:val="Equations"/>
        <w:rPr>
          <w:vertAlign w:val="subscript"/>
        </w:rPr>
      </w:pPr>
      <w:r w:rsidRPr="006041FD">
        <w:rPr>
          <w:position w:val="-30"/>
          <w:vertAlign w:val="subscript"/>
        </w:rPr>
        <w:object w:dxaOrig="2700" w:dyaOrig="680">
          <v:shape id="_x0000_i1027" type="#_x0000_t75" style="width:134.8pt;height:34pt" o:ole="">
            <v:imagedata r:id="rId20" o:title=""/>
          </v:shape>
          <o:OLEObject Type="Embed" ProgID="Equation.3" ShapeID="_x0000_i1027" DrawAspect="Content" ObjectID="_1637235016" r:id="rId21"/>
        </w:object>
      </w:r>
    </w:p>
    <w:p w:rsidR="00D9729C" w:rsidRDefault="00D9729C" w:rsidP="00D9729C">
      <w:pPr>
        <w:pStyle w:val="Equations"/>
      </w:pPr>
      <w:r>
        <w:rPr>
          <w:vertAlign w:val="subscript"/>
        </w:rPr>
        <w:softHyphen/>
      </w:r>
      <w:r>
        <w:t xml:space="preserve">And now, using </w:t>
      </w:r>
      <w:proofErr w:type="gramStart"/>
      <w:r>
        <w:t>V’(</w:t>
      </w:r>
      <w:proofErr w:type="gramEnd"/>
      <w:r>
        <w:t>t)=</w:t>
      </w:r>
      <w:proofErr w:type="spellStart"/>
      <w:r>
        <w:t>V</w:t>
      </w:r>
      <w:r>
        <w:rPr>
          <w:vertAlign w:val="subscript"/>
        </w:rPr>
        <w:t>m</w:t>
      </w:r>
      <w:proofErr w:type="spellEnd"/>
      <w:r>
        <w:t>(t)-V,</w:t>
      </w:r>
    </w:p>
    <w:p w:rsidR="00D9729C" w:rsidRDefault="00D9729C" w:rsidP="00D9729C">
      <w:pPr>
        <w:pStyle w:val="Equations"/>
        <w:rPr>
          <w:vertAlign w:val="subscript"/>
        </w:rPr>
      </w:pPr>
      <w:r>
        <w:rPr>
          <w:position w:val="-30"/>
          <w:vertAlign w:val="subscript"/>
        </w:rPr>
        <w:object w:dxaOrig="2040" w:dyaOrig="680">
          <v:shape id="_x0000_i1028" type="#_x0000_t75" style="width:101.95pt;height:34pt" o:ole="">
            <v:imagedata r:id="rId22" o:title=""/>
          </v:shape>
          <o:OLEObject Type="Embed" ProgID="Equation.3" ShapeID="_x0000_i1028" DrawAspect="Content" ObjectID="_1637235017" r:id="rId23"/>
        </w:object>
      </w:r>
    </w:p>
    <w:p w:rsidR="00D9729C" w:rsidRDefault="00D9729C" w:rsidP="00D9729C">
      <w:pPr>
        <w:pStyle w:val="Equations"/>
      </w:pPr>
      <w:r>
        <w:t>With a solution</w:t>
      </w:r>
    </w:p>
    <w:p w:rsidR="00D9729C" w:rsidRDefault="00D9729C" w:rsidP="00D9729C">
      <w:pPr>
        <w:pStyle w:val="Equations"/>
        <w:rPr>
          <w:vertAlign w:val="subscript"/>
        </w:rPr>
      </w:pPr>
      <w:r>
        <w:rPr>
          <w:position w:val="-32"/>
          <w:vertAlign w:val="subscript"/>
        </w:rPr>
        <w:object w:dxaOrig="2260" w:dyaOrig="760">
          <v:shape id="_x0000_i1029" type="#_x0000_t75" style="width:112.9pt;height:38pt" o:ole="">
            <v:imagedata r:id="rId24" o:title=""/>
          </v:shape>
          <o:OLEObject Type="Embed" ProgID="Equation.3" ShapeID="_x0000_i1029" DrawAspect="Content" ObjectID="_1637235018" r:id="rId25"/>
        </w:object>
      </w:r>
    </w:p>
    <w:p w:rsidR="00D9729C" w:rsidRDefault="00D9729C" w:rsidP="00D9729C">
      <w:pPr>
        <w:pStyle w:val="Equations"/>
      </w:pPr>
      <w:r>
        <w:t>Which</w:t>
      </w:r>
      <w:r w:rsidR="00486841">
        <w:t xml:space="preserve">, using </w:t>
      </w:r>
      <w:proofErr w:type="spellStart"/>
      <w:proofErr w:type="gramStart"/>
      <w:r w:rsidR="00486841">
        <w:t>V</w:t>
      </w:r>
      <w:r w:rsidR="00486841">
        <w:rPr>
          <w:vertAlign w:val="subscript"/>
        </w:rPr>
        <w:t>m</w:t>
      </w:r>
      <w:proofErr w:type="spellEnd"/>
      <w:r w:rsidR="00486841">
        <w:t>(</w:t>
      </w:r>
      <w:proofErr w:type="gramEnd"/>
      <w:r w:rsidR="00486841">
        <w:t>0)=V</w:t>
      </w:r>
      <w:r w:rsidR="00486841">
        <w:rPr>
          <w:vertAlign w:val="subscript"/>
        </w:rPr>
        <w:t>0</w:t>
      </w:r>
      <w:r w:rsidR="00486841">
        <w:t>,</w:t>
      </w:r>
      <w:r>
        <w:t xml:space="preserve"> gets us the equation</w:t>
      </w:r>
    </w:p>
    <w:p w:rsidR="00D9729C" w:rsidRDefault="00486841" w:rsidP="00D9729C">
      <w:pPr>
        <w:pStyle w:val="Equations"/>
        <w:rPr>
          <w:vertAlign w:val="subscript"/>
        </w:rPr>
      </w:pPr>
      <w:r w:rsidRPr="00486841">
        <w:rPr>
          <w:position w:val="-32"/>
          <w:vertAlign w:val="subscript"/>
        </w:rPr>
        <w:object w:dxaOrig="3620" w:dyaOrig="760">
          <v:shape id="_x0000_i1030" type="#_x0000_t75" style="width:180.85pt;height:38pt" o:ole="">
            <v:imagedata r:id="rId26" o:title=""/>
          </v:shape>
          <o:OLEObject Type="Embed" ProgID="Equation.3" ShapeID="_x0000_i1030" DrawAspect="Content" ObjectID="_1637235019" r:id="rId27"/>
        </w:object>
      </w:r>
    </w:p>
    <w:p w:rsidR="00D9729C" w:rsidRDefault="00D9729C" w:rsidP="00D9729C">
      <w:pPr>
        <w:pStyle w:val="Equations"/>
      </w:pPr>
      <w:r>
        <w:t xml:space="preserve">Time constant =  </w:t>
      </w:r>
      <w:r>
        <w:sym w:font="Symbol" w:char="F074"/>
      </w:r>
      <w:r>
        <w:t xml:space="preserve"> = C</w:t>
      </w:r>
      <w:r>
        <w:rPr>
          <w:vertAlign w:val="subscript"/>
        </w:rPr>
        <w:t>m</w:t>
      </w:r>
      <w:r>
        <w:t>/g</w:t>
      </w:r>
    </w:p>
    <w:p w:rsidR="00486841" w:rsidRDefault="00486841" w:rsidP="00D9729C">
      <w:pPr>
        <w:pStyle w:val="LectureNotesNormal"/>
      </w:pPr>
    </w:p>
    <w:p w:rsidR="00D9729C" w:rsidRDefault="00D9729C" w:rsidP="00D9729C">
      <w:pPr>
        <w:pStyle w:val="LectureNotesNormal"/>
      </w:pPr>
      <w:r>
        <w:t>And more generally, this same exponential character will be found for any change. For a general analysis:</w:t>
      </w:r>
    </w:p>
    <w:p w:rsidR="00D9729C" w:rsidRDefault="00D9729C" w:rsidP="00D9729C">
      <w:pPr>
        <w:pStyle w:val="LectureNotesNormal"/>
      </w:pPr>
      <w:r>
        <w:t xml:space="preserve">Remember that a capacitor doesn’t like quick changes in voltage. So, if conductance/resistance or voltage changes quickly, the capacitor voltage will start at the same voltage it was before the change, </w:t>
      </w:r>
      <w:proofErr w:type="gramStart"/>
      <w:r>
        <w:t>then</w:t>
      </w:r>
      <w:proofErr w:type="gramEnd"/>
      <w:r>
        <w:t xml:space="preserve"> approach another. So:</w:t>
      </w:r>
    </w:p>
    <w:p w:rsidR="00D9729C" w:rsidRDefault="00D9729C" w:rsidP="00D9729C">
      <w:pPr>
        <w:pStyle w:val="LectureNotesNormal"/>
        <w:numPr>
          <w:ilvl w:val="0"/>
          <w:numId w:val="31"/>
        </w:numPr>
      </w:pPr>
      <w:r>
        <w:t>Determine the membrane voltage before the change</w:t>
      </w:r>
    </w:p>
    <w:p w:rsidR="00D9729C" w:rsidRDefault="00D9729C" w:rsidP="00D9729C">
      <w:pPr>
        <w:pStyle w:val="LectureNotesNormal"/>
        <w:numPr>
          <w:ilvl w:val="0"/>
          <w:numId w:val="31"/>
        </w:numPr>
      </w:pPr>
      <w:r>
        <w:t>Consider the capacitor removed from the circuit, that will give you the final voltage (look to pump-leak model, GHK, etc.)</w:t>
      </w:r>
    </w:p>
    <w:p w:rsidR="00D9729C" w:rsidRDefault="00D9729C" w:rsidP="00D9729C">
      <w:pPr>
        <w:pStyle w:val="LectureNotesNormal"/>
        <w:numPr>
          <w:ilvl w:val="0"/>
          <w:numId w:val="31"/>
        </w:numPr>
      </w:pPr>
      <w:r>
        <w:t xml:space="preserve">The capacitor/membrane voltage goes from the initial </w:t>
      </w:r>
      <w:proofErr w:type="spellStart"/>
      <w:r>
        <w:t>to</w:t>
      </w:r>
      <w:proofErr w:type="spellEnd"/>
      <w:r>
        <w:t xml:space="preserve"> final with an exponential equation, typically of the form </w:t>
      </w:r>
      <w:r>
        <w:sym w:font="Symbol" w:char="F044"/>
      </w:r>
      <w:r>
        <w:t>V*(1-</w:t>
      </w:r>
      <w:proofErr w:type="gramStart"/>
      <w:r>
        <w:t>exp(</w:t>
      </w:r>
      <w:proofErr w:type="gramEnd"/>
      <w:r>
        <w:t>-t/</w:t>
      </w:r>
      <w:r>
        <w:sym w:font="Symbol" w:char="F074"/>
      </w:r>
      <w:r>
        <w:t xml:space="preserve">)), where </w:t>
      </w:r>
      <w:r>
        <w:sym w:font="Symbol" w:char="F074"/>
      </w:r>
      <w:r>
        <w:t>=C</w:t>
      </w:r>
      <w:r>
        <w:rPr>
          <w:vertAlign w:val="subscript"/>
        </w:rPr>
        <w:t>m</w:t>
      </w:r>
      <w:r>
        <w:t>/g=</w:t>
      </w:r>
      <w:proofErr w:type="spellStart"/>
      <w:r>
        <w:t>RC</w:t>
      </w:r>
      <w:r>
        <w:rPr>
          <w:vertAlign w:val="subscript"/>
        </w:rPr>
        <w:t>m</w:t>
      </w:r>
      <w:proofErr w:type="spellEnd"/>
      <w:r>
        <w:rPr>
          <w:vertAlign w:val="subscript"/>
        </w:rPr>
        <w:softHyphen/>
      </w:r>
      <w:r>
        <w:t>.  Note that these have to be adjusted for area.</w:t>
      </w:r>
    </w:p>
    <w:p w:rsidR="00D9729C" w:rsidRDefault="00D9729C" w:rsidP="00D9729C">
      <w:pPr>
        <w:pStyle w:val="LectureNotesNormal"/>
        <w:ind w:left="0" w:firstLine="0"/>
      </w:pPr>
    </w:p>
    <w:p w:rsidR="00D9729C" w:rsidRDefault="00D9729C" w:rsidP="00D9729C">
      <w:pPr>
        <w:pStyle w:val="LectureNotesNormal"/>
      </w:pPr>
      <w:r>
        <w:t>The trick is, then, what is R? For a single source and resistance, this is a no-brainer.  Also, if there is a conductance that completely dominates the system, the entire system can be approximated as consisting of only this Nernst potential and conductance.</w:t>
      </w:r>
    </w:p>
    <w:p w:rsidR="00D9729C" w:rsidRDefault="00D9729C" w:rsidP="00D9729C">
      <w:pPr>
        <w:pStyle w:val="LectureNotesNormal"/>
      </w:pPr>
      <w:r>
        <w:t xml:space="preserve">We can get at this from linear circuit theory, using </w:t>
      </w:r>
      <w:proofErr w:type="spellStart"/>
      <w:r>
        <w:t>Thevenin</w:t>
      </w:r>
      <w:proofErr w:type="spellEnd"/>
      <w:r>
        <w:t xml:space="preserve"> and Norton equivalent circuits, in which we can convert between current and voltage sources.  </w:t>
      </w:r>
    </w:p>
    <w:p w:rsidR="00D9729C" w:rsidRDefault="00FE272E" w:rsidP="00D9729C">
      <w:pPr>
        <w:pStyle w:val="LectureNotesNormal"/>
      </w:pPr>
      <w:r>
        <w:rPr>
          <w:noProof/>
        </w:rPr>
        <w:lastRenderedPageBreak/>
        <w:drawing>
          <wp:inline distT="0" distB="0" distL="0" distR="0">
            <wp:extent cx="5486400" cy="1594485"/>
            <wp:effectExtent l="0" t="0" r="0" b="571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486400" cy="1594485"/>
                    </a:xfrm>
                    <a:prstGeom prst="rect">
                      <a:avLst/>
                    </a:prstGeom>
                    <a:noFill/>
                    <a:ln>
                      <a:noFill/>
                    </a:ln>
                  </pic:spPr>
                </pic:pic>
              </a:graphicData>
            </a:graphic>
          </wp:inline>
        </w:drawing>
      </w:r>
    </w:p>
    <w:p w:rsidR="00D9729C" w:rsidRDefault="005A11B7" w:rsidP="00D9729C">
      <w:pPr>
        <w:pStyle w:val="LectureNotesNormal"/>
        <w:jc w:val="center"/>
      </w:pPr>
      <w:r>
        <w:t>From these treatments,</w:t>
      </w:r>
      <w:r w:rsidR="00D9729C">
        <w:t xml:space="preserve"> R</w:t>
      </w:r>
      <w:r w:rsidR="00D9729C">
        <w:rPr>
          <w:vertAlign w:val="subscript"/>
        </w:rPr>
        <w:t>N</w:t>
      </w:r>
      <w:r w:rsidR="00D9729C">
        <w:t xml:space="preserve"> = R</w:t>
      </w:r>
      <w:r w:rsidR="00D9729C">
        <w:rPr>
          <w:vertAlign w:val="subscript"/>
        </w:rPr>
        <w:t>T</w:t>
      </w:r>
    </w:p>
    <w:p w:rsidR="00D9729C" w:rsidRDefault="00D9729C" w:rsidP="00D9729C">
      <w:pPr>
        <w:pStyle w:val="LectureNotesNormal"/>
      </w:pPr>
      <w:r>
        <w:t>Now, use these relations to simplify the original circuit.</w:t>
      </w:r>
    </w:p>
    <w:p w:rsidR="00D9729C" w:rsidRDefault="00D9729C" w:rsidP="00D9729C">
      <w:pPr>
        <w:pStyle w:val="LectureNotesNormal"/>
      </w:pPr>
      <w:r>
        <w:t>Each Nernst potential/resistor converts to a current source in parallel with a resistor:</w:t>
      </w:r>
    </w:p>
    <w:p w:rsidR="00D9729C" w:rsidRDefault="00D9729C" w:rsidP="00D9729C">
      <w:pPr>
        <w:pStyle w:val="LectureNotesNormal"/>
        <w:jc w:val="center"/>
      </w:pPr>
      <w:proofErr w:type="spellStart"/>
      <w:smartTag w:uri="urn:schemas-microsoft-com:office:smarttags" w:element="place">
        <w:smartTag w:uri="urn:schemas-microsoft-com:office:smarttags" w:element="City">
          <w:r>
            <w:t>V</w:t>
          </w:r>
          <w:r>
            <w:rPr>
              <w:vertAlign w:val="subscript"/>
            </w:rPr>
            <w:t>i</w:t>
          </w:r>
          <w:r>
            <w:rPr>
              <w:vertAlign w:val="superscript"/>
            </w:rPr>
            <w:t>Nernst</w:t>
          </w:r>
        </w:smartTag>
        <w:proofErr w:type="gramStart"/>
        <w:r>
          <w:t>,</w:t>
        </w:r>
        <w:smartTag w:uri="urn:schemas-microsoft-com:office:smarttags" w:element="State">
          <w:r>
            <w:t>R</w:t>
          </w:r>
          <w:r>
            <w:rPr>
              <w:vertAlign w:val="subscript"/>
            </w:rPr>
            <w:t>i</w:t>
          </w:r>
        </w:smartTag>
      </w:smartTag>
      <w:proofErr w:type="spellEnd"/>
      <w:proofErr w:type="gramEnd"/>
      <w:r>
        <w:t xml:space="preserve"> =&gt; I</w:t>
      </w:r>
      <w:r>
        <w:rPr>
          <w:vertAlign w:val="subscript"/>
        </w:rPr>
        <w:t>i</w:t>
      </w:r>
      <w:r>
        <w:t>=</w:t>
      </w:r>
      <w:proofErr w:type="spellStart"/>
      <w:r>
        <w:t>V</w:t>
      </w:r>
      <w:r>
        <w:rPr>
          <w:vertAlign w:val="subscript"/>
        </w:rPr>
        <w:t>i</w:t>
      </w:r>
      <w:r>
        <w:rPr>
          <w:vertAlign w:val="superscript"/>
        </w:rPr>
        <w:t>Nernst</w:t>
      </w:r>
      <w:proofErr w:type="spellEnd"/>
      <w:r>
        <w:t>/</w:t>
      </w:r>
      <w:proofErr w:type="spellStart"/>
      <w:r>
        <w:t>R</w:t>
      </w:r>
      <w:r>
        <w:rPr>
          <w:vertAlign w:val="subscript"/>
        </w:rPr>
        <w:t>i</w:t>
      </w:r>
      <w:proofErr w:type="spellEnd"/>
      <w:r>
        <w:t xml:space="preserve">= </w:t>
      </w:r>
      <w:proofErr w:type="spellStart"/>
      <w:r>
        <w:t>g</w:t>
      </w:r>
      <w:r>
        <w:rPr>
          <w:vertAlign w:val="subscript"/>
        </w:rPr>
        <w:t>i</w:t>
      </w:r>
      <w:r>
        <w:t>V</w:t>
      </w:r>
      <w:r>
        <w:rPr>
          <w:vertAlign w:val="subscript"/>
        </w:rPr>
        <w:t>i</w:t>
      </w:r>
      <w:r>
        <w:rPr>
          <w:vertAlign w:val="superscript"/>
        </w:rPr>
        <w:t>Nernst</w:t>
      </w:r>
      <w:proofErr w:type="spellEnd"/>
      <w:r>
        <w:t xml:space="preserve">, </w:t>
      </w:r>
      <w:proofErr w:type="spellStart"/>
      <w:r>
        <w:t>R</w:t>
      </w:r>
      <w:r>
        <w:rPr>
          <w:vertAlign w:val="subscript"/>
        </w:rPr>
        <w:t>i</w:t>
      </w:r>
      <w:proofErr w:type="spellEnd"/>
    </w:p>
    <w:p w:rsidR="00D9729C" w:rsidRDefault="00D9729C" w:rsidP="00D9729C">
      <w:pPr>
        <w:pStyle w:val="LectureNotesNormal"/>
      </w:pPr>
      <w:r>
        <w:t>Add them together in parallel, add pumps.</w:t>
      </w:r>
    </w:p>
    <w:p w:rsidR="00D9729C" w:rsidRDefault="005A11B7" w:rsidP="00D9729C">
      <w:pPr>
        <w:pStyle w:val="Equations"/>
      </w:pPr>
      <w:r w:rsidRPr="005A11B7">
        <w:rPr>
          <w:position w:val="-50"/>
        </w:rPr>
        <w:object w:dxaOrig="5360" w:dyaOrig="880">
          <v:shape id="_x0000_i1031" type="#_x0000_t75" style="width:267.85pt;height:43.8pt" o:ole="">
            <v:imagedata r:id="rId29" o:title=""/>
          </v:shape>
          <o:OLEObject Type="Embed" ProgID="Equation.3" ShapeID="_x0000_i1031" DrawAspect="Content" ObjectID="_1637235020" r:id="rId30"/>
        </w:object>
      </w:r>
    </w:p>
    <w:p w:rsidR="00D9729C" w:rsidRDefault="00D9729C" w:rsidP="00D9729C">
      <w:pPr>
        <w:pStyle w:val="LectureNotesNormal"/>
      </w:pPr>
      <w:r>
        <w:t>Most important point is that this gives an equivalent resistance. Getting to a source voltage, which should be the non-capacitor system you computed earlier, is a bit tricky, given the constraints on what the pump currents can be.</w:t>
      </w:r>
    </w:p>
    <w:p w:rsidR="00D9729C" w:rsidRDefault="00D9729C" w:rsidP="00D9729C">
      <w:pPr>
        <w:pStyle w:val="Equations"/>
      </w:pPr>
    </w:p>
    <w:p w:rsidR="00D9729C" w:rsidRDefault="00D9729C" w:rsidP="00D9729C">
      <w:pPr>
        <w:pStyle w:val="LectureNotesNormal"/>
      </w:pPr>
    </w:p>
    <w:p w:rsidR="00D9729C" w:rsidRDefault="00D9729C" w:rsidP="00D9729C">
      <w:pPr>
        <w:pStyle w:val="Heading2"/>
      </w:pPr>
      <w:r>
        <w:t>Capacitance of parallel plate system:</w:t>
      </w:r>
    </w:p>
    <w:p w:rsidR="00D9729C" w:rsidRDefault="00D9729C" w:rsidP="00D9729C">
      <w:pPr>
        <w:pStyle w:val="Equations"/>
      </w:pPr>
      <w:r>
        <w:t>C=</w:t>
      </w:r>
      <w:r>
        <w:sym w:font="Symbol" w:char="F065"/>
      </w:r>
      <w:r>
        <w:rPr>
          <w:vertAlign w:val="subscript"/>
        </w:rPr>
        <w:t>0</w:t>
      </w:r>
      <w:r>
        <w:t>*</w:t>
      </w:r>
      <w:r>
        <w:sym w:font="Symbol" w:char="F065"/>
      </w:r>
      <w:r>
        <w:t>*A/d, or c=</w:t>
      </w:r>
      <w:r>
        <w:sym w:font="Symbol" w:char="F065"/>
      </w:r>
      <w:r>
        <w:rPr>
          <w:vertAlign w:val="subscript"/>
        </w:rPr>
        <w:t>0</w:t>
      </w:r>
      <w:r>
        <w:t>*</w:t>
      </w:r>
      <w:r>
        <w:sym w:font="Symbol" w:char="F065"/>
      </w:r>
      <w:r>
        <w:t>/d</w:t>
      </w:r>
    </w:p>
    <w:p w:rsidR="00572A53" w:rsidRDefault="00D9729C" w:rsidP="00D9729C">
      <w:pPr>
        <w:pStyle w:val="Equations"/>
      </w:pPr>
      <w:r>
        <w:sym w:font="Symbol" w:char="F065"/>
      </w:r>
      <w:r>
        <w:rPr>
          <w:vertAlign w:val="subscript"/>
        </w:rPr>
        <w:t>0</w:t>
      </w:r>
      <w:r>
        <w:t xml:space="preserve"> = permittivity constant of space </w:t>
      </w:r>
    </w:p>
    <w:p w:rsidR="00D9729C" w:rsidRDefault="00572A53" w:rsidP="00D9729C">
      <w:pPr>
        <w:pStyle w:val="Equations"/>
      </w:pPr>
      <w:r>
        <w:sym w:font="Symbol" w:char="F065"/>
      </w:r>
      <w:r>
        <w:rPr>
          <w:vertAlign w:val="subscript"/>
        </w:rPr>
        <w:t xml:space="preserve">0  </w:t>
      </w:r>
      <w:r w:rsidR="00D9729C">
        <w:t>= 8.854 x 10</w:t>
      </w:r>
      <w:r w:rsidR="00D9729C">
        <w:rPr>
          <w:vertAlign w:val="superscript"/>
        </w:rPr>
        <w:t>-12</w:t>
      </w:r>
      <w:r w:rsidR="00D9729C">
        <w:t xml:space="preserve"> C</w:t>
      </w:r>
      <w:r w:rsidR="00D9729C">
        <w:rPr>
          <w:vertAlign w:val="superscript"/>
        </w:rPr>
        <w:t>2</w:t>
      </w:r>
      <w:r w:rsidR="00D9729C">
        <w:t>/(N*m</w:t>
      </w:r>
      <w:r w:rsidR="00D9729C">
        <w:rPr>
          <w:vertAlign w:val="superscript"/>
        </w:rPr>
        <w:t>2</w:t>
      </w:r>
      <w:r w:rsidR="00D9729C">
        <w:t>)</w:t>
      </w:r>
    </w:p>
    <w:p w:rsidR="00D9729C" w:rsidRDefault="00D9729C" w:rsidP="00D9729C">
      <w:pPr>
        <w:pStyle w:val="Equations"/>
      </w:pPr>
      <w:r>
        <w:sym w:font="Symbol" w:char="F065"/>
      </w:r>
      <w:r>
        <w:rPr>
          <w:vertAlign w:val="subscript"/>
        </w:rPr>
        <w:t>lipid</w:t>
      </w:r>
      <w:r>
        <w:t xml:space="preserve"> = 5</w:t>
      </w:r>
    </w:p>
    <w:p w:rsidR="00D9729C" w:rsidRDefault="00D9729C" w:rsidP="00D9729C">
      <w:pPr>
        <w:pStyle w:val="Equations"/>
      </w:pPr>
      <w:r>
        <w:t>d ~ 5 nm</w:t>
      </w:r>
    </w:p>
    <w:p w:rsidR="00D9729C" w:rsidRDefault="00D9729C" w:rsidP="00D9729C">
      <w:pPr>
        <w:pStyle w:val="Equations"/>
      </w:pPr>
      <w:r>
        <w:t>C = 8.85 x 10</w:t>
      </w:r>
      <w:r>
        <w:rPr>
          <w:vertAlign w:val="superscript"/>
        </w:rPr>
        <w:t>-2</w:t>
      </w:r>
      <w:r>
        <w:t xml:space="preserve"> F/m</w:t>
      </w:r>
      <w:r>
        <w:rPr>
          <w:vertAlign w:val="superscript"/>
        </w:rPr>
        <w:t>2</w:t>
      </w:r>
      <w:r>
        <w:t xml:space="preserve"> ~ 1 </w:t>
      </w:r>
      <w:r>
        <w:sym w:font="Symbol" w:char="F06D"/>
      </w:r>
      <w:r>
        <w:t>F/cm</w:t>
      </w:r>
      <w:r>
        <w:rPr>
          <w:vertAlign w:val="superscript"/>
        </w:rPr>
        <w:t>2</w:t>
      </w:r>
    </w:p>
    <w:p w:rsidR="00D9729C" w:rsidRDefault="00D9729C" w:rsidP="00D9729C">
      <w:pPr>
        <w:pStyle w:val="LectureNotesNormal"/>
      </w:pPr>
    </w:p>
    <w:p w:rsidR="00D9729C" w:rsidRDefault="00D9729C" w:rsidP="00D9729C">
      <w:pPr>
        <w:pStyle w:val="LectureNotesNormal"/>
      </w:pPr>
      <w:r>
        <w:t xml:space="preserve">So, </w:t>
      </w:r>
      <w:r>
        <w:sym w:font="Symbol" w:char="F074"/>
      </w:r>
      <w:r>
        <w:rPr>
          <w:vertAlign w:val="subscript"/>
        </w:rPr>
        <w:t>Na</w:t>
      </w:r>
      <w:r>
        <w:t xml:space="preserve">= (1 </w:t>
      </w:r>
      <w:r>
        <w:sym w:font="Symbol" w:char="F06D"/>
      </w:r>
      <w:r>
        <w:t>F/cm</w:t>
      </w:r>
      <w:r>
        <w:rPr>
          <w:vertAlign w:val="superscript"/>
        </w:rPr>
        <w:t>2</w:t>
      </w:r>
      <w:r>
        <w:t xml:space="preserve">) / (25 </w:t>
      </w:r>
      <w:proofErr w:type="spellStart"/>
      <w:r>
        <w:t>mS</w:t>
      </w:r>
      <w:proofErr w:type="spellEnd"/>
      <w:r>
        <w:t>/cm</w:t>
      </w:r>
      <w:r>
        <w:rPr>
          <w:vertAlign w:val="superscript"/>
        </w:rPr>
        <w:t>2</w:t>
      </w:r>
      <w:r>
        <w:t xml:space="preserve">) = 40 </w:t>
      </w:r>
      <w:r>
        <w:sym w:font="Symbol" w:char="F06D"/>
      </w:r>
      <w:r>
        <w:t xml:space="preserve">s. Consider that the rise time is on the order of 500 </w:t>
      </w:r>
      <w:r>
        <w:sym w:font="Symbol" w:char="F06D"/>
      </w:r>
      <w:r>
        <w:t>s, and this is the peak sodium flux, which is occurring in the face of potassium flux, not too bad an estimate!</w:t>
      </w:r>
    </w:p>
    <w:p w:rsidR="00D9729C" w:rsidRPr="00D9729C" w:rsidRDefault="00D9729C" w:rsidP="00D9729C"/>
    <w:p w:rsidR="00E62388" w:rsidRDefault="00E62388">
      <w:pPr>
        <w:pStyle w:val="Heading1"/>
      </w:pPr>
      <w:r>
        <w:t>With the numbers:</w:t>
      </w:r>
    </w:p>
    <w:p w:rsidR="00E62388" w:rsidRDefault="00E62388">
      <w:pPr>
        <w:pStyle w:val="LectureNotesNormal"/>
      </w:pPr>
      <w:r>
        <w:t>Note: we’re going to reveal some of the problems and nuances of applying the treatments we just described. There is a bit of art and science in applying these, and we won’t go too far into it. The goals are to have some insight into when each model is appropriate, realize that they give sometimes different answers, and rationalize where these differences come from. For grading and question purposes, this course will be specific on which system to use.</w:t>
      </w:r>
    </w:p>
    <w:p w:rsidR="00E62388" w:rsidRDefault="00E62388">
      <w:pPr>
        <w:pStyle w:val="LectureNotesNormal"/>
      </w:pPr>
      <w:r>
        <w:lastRenderedPageBreak/>
        <w:t>A rough approximation of the curves arrived at with the Hodgkin &amp; Huxley model, following the giant squid axon. In short, recreate aspects of the time scale of:</w:t>
      </w:r>
    </w:p>
    <w:p w:rsidR="00E62388" w:rsidRDefault="00FE272E">
      <w:pPr>
        <w:pStyle w:val="Equations"/>
        <w:spacing w:after="60"/>
      </w:pPr>
      <w:r>
        <w:rPr>
          <w:noProof/>
        </w:rPr>
        <w:drawing>
          <wp:inline distT="0" distB="0" distL="0" distR="0">
            <wp:extent cx="4228465" cy="1916430"/>
            <wp:effectExtent l="0" t="0" r="635" b="762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28465" cy="1916430"/>
                    </a:xfrm>
                    <a:prstGeom prst="rect">
                      <a:avLst/>
                    </a:prstGeom>
                    <a:noFill/>
                    <a:ln>
                      <a:noFill/>
                    </a:ln>
                  </pic:spPr>
                </pic:pic>
              </a:graphicData>
            </a:graphic>
          </wp:inline>
        </w:drawing>
      </w:r>
    </w:p>
    <w:p w:rsidR="00E62388" w:rsidRDefault="00E62388">
      <w:pPr>
        <w:pStyle w:val="Equations"/>
        <w:spacing w:after="60"/>
      </w:pPr>
      <w:r>
        <w:t>Assume resting potential of –70 mV, peak of +40 mV, hyperpolarization to –75 mV</w:t>
      </w:r>
    </w:p>
    <w:p w:rsidR="00E62388" w:rsidRDefault="00E62388">
      <w:r>
        <w:t>Use the following conditions for ions in solution:</w:t>
      </w: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
        <w:gridCol w:w="1440"/>
        <w:gridCol w:w="1260"/>
        <w:gridCol w:w="1800"/>
      </w:tblGrid>
      <w:tr w:rsidR="00E62388">
        <w:trPr>
          <w:cantSplit/>
        </w:trPr>
        <w:tc>
          <w:tcPr>
            <w:tcW w:w="900" w:type="dxa"/>
          </w:tcPr>
          <w:p w:rsidR="00E62388" w:rsidRDefault="00E62388">
            <w:r>
              <w:t>Ion</w:t>
            </w:r>
          </w:p>
        </w:tc>
        <w:tc>
          <w:tcPr>
            <w:tcW w:w="4500" w:type="dxa"/>
            <w:gridSpan w:val="3"/>
          </w:tcPr>
          <w:p w:rsidR="00E62388" w:rsidRDefault="00E62388">
            <w:pPr>
              <w:pStyle w:val="IndexHeading"/>
            </w:pPr>
            <w:r>
              <w:t>concentration (</w:t>
            </w:r>
            <w:proofErr w:type="spellStart"/>
            <w:r>
              <w:t>mM</w:t>
            </w:r>
            <w:proofErr w:type="spellEnd"/>
            <w:r>
              <w:t>)</w:t>
            </w:r>
          </w:p>
        </w:tc>
      </w:tr>
      <w:tr w:rsidR="00E62388">
        <w:tc>
          <w:tcPr>
            <w:tcW w:w="900" w:type="dxa"/>
          </w:tcPr>
          <w:p w:rsidR="00E62388" w:rsidRDefault="00E62388"/>
        </w:tc>
        <w:tc>
          <w:tcPr>
            <w:tcW w:w="1440" w:type="dxa"/>
          </w:tcPr>
          <w:p w:rsidR="00E62388" w:rsidRDefault="00E62388">
            <w:pPr>
              <w:jc w:val="center"/>
            </w:pPr>
            <w:r>
              <w:t>outside</w:t>
            </w:r>
          </w:p>
        </w:tc>
        <w:tc>
          <w:tcPr>
            <w:tcW w:w="1260" w:type="dxa"/>
          </w:tcPr>
          <w:p w:rsidR="00E62388" w:rsidRDefault="00E62388">
            <w:pPr>
              <w:jc w:val="center"/>
            </w:pPr>
            <w:r>
              <w:t>inside</w:t>
            </w:r>
          </w:p>
        </w:tc>
        <w:tc>
          <w:tcPr>
            <w:tcW w:w="1800" w:type="dxa"/>
          </w:tcPr>
          <w:p w:rsidR="00E62388" w:rsidRDefault="00E62388">
            <w:pPr>
              <w:jc w:val="center"/>
            </w:pPr>
            <w:proofErr w:type="spellStart"/>
            <w:r>
              <w:t>V</w:t>
            </w:r>
            <w:r>
              <w:rPr>
                <w:vertAlign w:val="superscript"/>
              </w:rPr>
              <w:t>nernst</w:t>
            </w:r>
            <w:proofErr w:type="spellEnd"/>
            <w:r>
              <w:t xml:space="preserve"> (mV)</w:t>
            </w:r>
          </w:p>
        </w:tc>
      </w:tr>
      <w:tr w:rsidR="00E62388">
        <w:tc>
          <w:tcPr>
            <w:tcW w:w="900" w:type="dxa"/>
          </w:tcPr>
          <w:p w:rsidR="00E62388" w:rsidRDefault="00E62388">
            <w:r>
              <w:t>Na</w:t>
            </w:r>
            <w:r>
              <w:rPr>
                <w:vertAlign w:val="superscript"/>
              </w:rPr>
              <w:t>+</w:t>
            </w:r>
          </w:p>
        </w:tc>
        <w:tc>
          <w:tcPr>
            <w:tcW w:w="1440" w:type="dxa"/>
          </w:tcPr>
          <w:p w:rsidR="00E62388" w:rsidRDefault="00E62388">
            <w:pPr>
              <w:jc w:val="center"/>
            </w:pPr>
            <w:r>
              <w:t>440</w:t>
            </w:r>
          </w:p>
        </w:tc>
        <w:tc>
          <w:tcPr>
            <w:tcW w:w="1260" w:type="dxa"/>
          </w:tcPr>
          <w:p w:rsidR="00E62388" w:rsidRDefault="00E62388">
            <w:pPr>
              <w:pStyle w:val="Equations"/>
              <w:spacing w:after="60"/>
            </w:pPr>
            <w:r>
              <w:t>50</w:t>
            </w:r>
          </w:p>
        </w:tc>
        <w:tc>
          <w:tcPr>
            <w:tcW w:w="1800" w:type="dxa"/>
          </w:tcPr>
          <w:p w:rsidR="00E62388" w:rsidRDefault="00E62388">
            <w:pPr>
              <w:pStyle w:val="Equations"/>
              <w:spacing w:after="60"/>
            </w:pPr>
            <w:r>
              <w:t>+54</w:t>
            </w:r>
          </w:p>
        </w:tc>
      </w:tr>
      <w:tr w:rsidR="00E62388">
        <w:tc>
          <w:tcPr>
            <w:tcW w:w="900" w:type="dxa"/>
          </w:tcPr>
          <w:p w:rsidR="00E62388" w:rsidRDefault="00E62388">
            <w:pPr>
              <w:rPr>
                <w:vertAlign w:val="superscript"/>
              </w:rPr>
            </w:pPr>
            <w:r>
              <w:t>K</w:t>
            </w:r>
            <w:r>
              <w:rPr>
                <w:vertAlign w:val="superscript"/>
              </w:rPr>
              <w:t>+</w:t>
            </w:r>
          </w:p>
        </w:tc>
        <w:tc>
          <w:tcPr>
            <w:tcW w:w="1440" w:type="dxa"/>
          </w:tcPr>
          <w:p w:rsidR="00E62388" w:rsidRDefault="00E62388">
            <w:pPr>
              <w:jc w:val="center"/>
            </w:pPr>
            <w:r>
              <w:t>20</w:t>
            </w:r>
          </w:p>
        </w:tc>
        <w:tc>
          <w:tcPr>
            <w:tcW w:w="1260" w:type="dxa"/>
          </w:tcPr>
          <w:p w:rsidR="00E62388" w:rsidRDefault="00E62388">
            <w:pPr>
              <w:jc w:val="center"/>
            </w:pPr>
            <w:r>
              <w:t>400</w:t>
            </w:r>
          </w:p>
        </w:tc>
        <w:tc>
          <w:tcPr>
            <w:tcW w:w="1800" w:type="dxa"/>
          </w:tcPr>
          <w:p w:rsidR="00E62388" w:rsidRDefault="00E62388">
            <w:pPr>
              <w:jc w:val="center"/>
            </w:pPr>
            <w:r>
              <w:t>-75</w:t>
            </w:r>
          </w:p>
        </w:tc>
      </w:tr>
      <w:tr w:rsidR="00E62388">
        <w:tc>
          <w:tcPr>
            <w:tcW w:w="900" w:type="dxa"/>
          </w:tcPr>
          <w:p w:rsidR="00E62388" w:rsidRDefault="00E62388">
            <w:r>
              <w:t>Cl</w:t>
            </w:r>
            <w:r>
              <w:rPr>
                <w:vertAlign w:val="superscript"/>
              </w:rPr>
              <w:t>-</w:t>
            </w:r>
          </w:p>
        </w:tc>
        <w:tc>
          <w:tcPr>
            <w:tcW w:w="1440" w:type="dxa"/>
          </w:tcPr>
          <w:p w:rsidR="00E62388" w:rsidRDefault="00E62388">
            <w:pPr>
              <w:jc w:val="center"/>
            </w:pPr>
            <w:r>
              <w:t>560</w:t>
            </w:r>
          </w:p>
        </w:tc>
        <w:tc>
          <w:tcPr>
            <w:tcW w:w="1260" w:type="dxa"/>
          </w:tcPr>
          <w:p w:rsidR="00E62388" w:rsidRDefault="00E62388">
            <w:pPr>
              <w:jc w:val="center"/>
            </w:pPr>
            <w:r>
              <w:t>52</w:t>
            </w:r>
          </w:p>
        </w:tc>
        <w:tc>
          <w:tcPr>
            <w:tcW w:w="1800" w:type="dxa"/>
          </w:tcPr>
          <w:p w:rsidR="00E62388" w:rsidRDefault="00E62388">
            <w:pPr>
              <w:jc w:val="center"/>
            </w:pPr>
            <w:r>
              <w:t>-59</w:t>
            </w:r>
          </w:p>
        </w:tc>
      </w:tr>
    </w:tbl>
    <w:p w:rsidR="00E62388" w:rsidRDefault="00E62388">
      <w:r>
        <w:t xml:space="preserve">All </w:t>
      </w:r>
      <w:proofErr w:type="spellStart"/>
      <w:r>
        <w:t>calculatable</w:t>
      </w:r>
      <w:proofErr w:type="spellEnd"/>
      <w:r>
        <w:t xml:space="preserve"> from the equation for the Nernst potential:</w:t>
      </w:r>
    </w:p>
    <w:p w:rsidR="00E62388" w:rsidRDefault="00E62388">
      <w:pPr>
        <w:pStyle w:val="Equations"/>
      </w:pPr>
      <w:r>
        <w:rPr>
          <w:position w:val="-32"/>
        </w:rPr>
        <w:object w:dxaOrig="3080" w:dyaOrig="760">
          <v:shape id="_x0000_i1032" type="#_x0000_t75" style="width:153.8pt;height:38pt" o:ole="">
            <v:imagedata r:id="rId31" o:title=""/>
          </v:shape>
          <o:OLEObject Type="Embed" ProgID="Equation.3" ShapeID="_x0000_i1032" DrawAspect="Content" ObjectID="_1637235021" r:id="rId32"/>
        </w:object>
      </w:r>
      <w:r>
        <w:t xml:space="preserve">; </w:t>
      </w:r>
      <w:proofErr w:type="gramStart"/>
      <w:r>
        <w:t>k</w:t>
      </w:r>
      <w:r>
        <w:rPr>
          <w:vertAlign w:val="subscript"/>
        </w:rPr>
        <w:t>B</w:t>
      </w:r>
      <w:r>
        <w:t>=</w:t>
      </w:r>
      <w:proofErr w:type="gramEnd"/>
      <w:r>
        <w:t>1.3807E-23 J/K, q=1.602E-19 C; use room temp. of 15C</w:t>
      </w:r>
    </w:p>
    <w:p w:rsidR="00E62388" w:rsidRDefault="00E62388">
      <w:pPr>
        <w:pStyle w:val="Equations"/>
      </w:pPr>
      <w:r>
        <w:t xml:space="preserve">=&gt; </w:t>
      </w:r>
      <w:proofErr w:type="spellStart"/>
      <w:r>
        <w:t>k</w:t>
      </w:r>
      <w:r>
        <w:rPr>
          <w:vertAlign w:val="subscript"/>
        </w:rPr>
        <w:t>B</w:t>
      </w:r>
      <w:r>
        <w:t>T</w:t>
      </w:r>
      <w:proofErr w:type="spellEnd"/>
      <w:r>
        <w:t>/q  = 24.8 mV @ 15C (288K), 25.9 mV @ 27C (300K), 26.7 mV @ 37C (310K)</w:t>
      </w:r>
    </w:p>
    <w:p w:rsidR="00E62388" w:rsidRDefault="00E62388">
      <w:pPr>
        <w:pStyle w:val="Heading3"/>
      </w:pPr>
      <w:proofErr w:type="spellStart"/>
      <w:r>
        <w:t>Conductances</w:t>
      </w:r>
      <w:proofErr w:type="spellEnd"/>
      <w:r>
        <w:t>:</w:t>
      </w:r>
    </w:p>
    <w:p w:rsidR="00E62388" w:rsidRDefault="00E62388">
      <w:r>
        <w:t>There are a wide range of reported values. Here, we’ll use these:</w:t>
      </w:r>
    </w:p>
    <w:p w:rsidR="00E62388" w:rsidRDefault="00E62388">
      <w:pPr>
        <w:pStyle w:val="LectureNotesNormal"/>
        <w:numPr>
          <w:ilvl w:val="0"/>
          <w:numId w:val="26"/>
        </w:numPr>
      </w:pPr>
      <w:r>
        <w:t>Na</w:t>
      </w:r>
      <w:r>
        <w:rPr>
          <w:vertAlign w:val="superscript"/>
        </w:rPr>
        <w:t>+</w:t>
      </w:r>
      <w:r>
        <w:t xml:space="preserve"> conductance, peak, action potential, squid axon: 27 </w:t>
      </w:r>
      <w:proofErr w:type="spellStart"/>
      <w:r>
        <w:t>mS</w:t>
      </w:r>
      <w:proofErr w:type="spellEnd"/>
      <w:r>
        <w:t>/cm</w:t>
      </w:r>
      <w:r>
        <w:rPr>
          <w:vertAlign w:val="superscript"/>
        </w:rPr>
        <w:t>2</w:t>
      </w:r>
    </w:p>
    <w:p w:rsidR="00E62388" w:rsidRDefault="00E62388">
      <w:pPr>
        <w:pStyle w:val="LectureNotesNormal"/>
        <w:numPr>
          <w:ilvl w:val="0"/>
          <w:numId w:val="26"/>
        </w:numPr>
      </w:pPr>
      <w:r>
        <w:t>K</w:t>
      </w:r>
      <w:r>
        <w:rPr>
          <w:vertAlign w:val="superscript"/>
        </w:rPr>
        <w:t>+</w:t>
      </w:r>
      <w:r>
        <w:t xml:space="preserve"> conductance, peak, action potential, squid axon: 12 </w:t>
      </w:r>
      <w:proofErr w:type="spellStart"/>
      <w:r>
        <w:t>mS</w:t>
      </w:r>
      <w:proofErr w:type="spellEnd"/>
      <w:r>
        <w:t>/cm</w:t>
      </w:r>
      <w:r>
        <w:rPr>
          <w:vertAlign w:val="superscript"/>
        </w:rPr>
        <w:t>2</w:t>
      </w:r>
    </w:p>
    <w:p w:rsidR="00E62388" w:rsidRDefault="00E62388">
      <w:pPr>
        <w:pStyle w:val="LectureNotesNormal"/>
        <w:numPr>
          <w:ilvl w:val="0"/>
          <w:numId w:val="26"/>
        </w:numPr>
      </w:pPr>
      <w:r>
        <w:t>Na</w:t>
      </w:r>
      <w:r>
        <w:rPr>
          <w:vertAlign w:val="superscript"/>
        </w:rPr>
        <w:t xml:space="preserve">+ </w:t>
      </w:r>
      <w:r>
        <w:t xml:space="preserve">conductance, resting, squid axon: 0.1 </w:t>
      </w:r>
      <w:proofErr w:type="spellStart"/>
      <w:r>
        <w:t>mS</w:t>
      </w:r>
      <w:proofErr w:type="spellEnd"/>
      <w:r>
        <w:t>/cm</w:t>
      </w:r>
      <w:r>
        <w:rPr>
          <w:vertAlign w:val="superscript"/>
        </w:rPr>
        <w:t>2</w:t>
      </w:r>
      <w:r>
        <w:t xml:space="preserve"> = 100 </w:t>
      </w:r>
      <w:r>
        <w:sym w:font="Symbol" w:char="F06D"/>
      </w:r>
      <w:r>
        <w:t>S/cm</w:t>
      </w:r>
      <w:r>
        <w:rPr>
          <w:vertAlign w:val="superscript"/>
        </w:rPr>
        <w:t>2</w:t>
      </w:r>
    </w:p>
    <w:p w:rsidR="00E62388" w:rsidRDefault="00E62388">
      <w:pPr>
        <w:pStyle w:val="LectureNotesNormal"/>
        <w:numPr>
          <w:ilvl w:val="0"/>
          <w:numId w:val="26"/>
        </w:numPr>
      </w:pPr>
      <w:r>
        <w:t>K</w:t>
      </w:r>
      <w:r>
        <w:rPr>
          <w:vertAlign w:val="superscript"/>
        </w:rPr>
        <w:t xml:space="preserve">+ </w:t>
      </w:r>
      <w:r>
        <w:t xml:space="preserve">conductance, resting, squid axon: 1.5 </w:t>
      </w:r>
      <w:proofErr w:type="spellStart"/>
      <w:r>
        <w:t>mS</w:t>
      </w:r>
      <w:proofErr w:type="spellEnd"/>
      <w:r>
        <w:t>/cm</w:t>
      </w:r>
      <w:r>
        <w:rPr>
          <w:vertAlign w:val="superscript"/>
        </w:rPr>
        <w:t>2</w:t>
      </w:r>
    </w:p>
    <w:p w:rsidR="00E62388" w:rsidRDefault="00E62388">
      <w:pPr>
        <w:pStyle w:val="LectureNotesNormal"/>
        <w:numPr>
          <w:ilvl w:val="0"/>
          <w:numId w:val="26"/>
        </w:numPr>
      </w:pPr>
      <w:r>
        <w:t>Cl</w:t>
      </w:r>
      <w:r>
        <w:rPr>
          <w:vertAlign w:val="superscript"/>
        </w:rPr>
        <w:t>-</w:t>
      </w:r>
      <w:r>
        <w:t xml:space="preserve"> conductance, squid axon: .8 </w:t>
      </w:r>
      <w:proofErr w:type="spellStart"/>
      <w:r>
        <w:t>mS</w:t>
      </w:r>
      <w:proofErr w:type="spellEnd"/>
      <w:r>
        <w:t>/cm</w:t>
      </w:r>
      <w:r>
        <w:rPr>
          <w:vertAlign w:val="superscript"/>
        </w:rPr>
        <w:t>2</w:t>
      </w:r>
    </w:p>
    <w:p w:rsidR="00E62388" w:rsidRDefault="00E62388">
      <w:pPr>
        <w:pStyle w:val="Heading2"/>
      </w:pPr>
      <w:r>
        <w:t>Start with resting cell</w:t>
      </w:r>
    </w:p>
    <w:p w:rsidR="00E62388" w:rsidRDefault="00E62388">
      <w:pPr>
        <w:pStyle w:val="Heading3"/>
      </w:pPr>
      <w:r>
        <w:t>From pump-leak model, assuming Na/K pump with 3/2 ratio:</w:t>
      </w:r>
    </w:p>
    <w:p w:rsidR="00E62388" w:rsidRDefault="00E62388">
      <w:pPr>
        <w:pStyle w:val="LectureNotesNormal"/>
        <w:jc w:val="center"/>
      </w:pPr>
      <w:r>
        <w:rPr>
          <w:position w:val="-36"/>
        </w:rPr>
        <w:object w:dxaOrig="3720" w:dyaOrig="940">
          <v:shape id="_x0000_i1033" type="#_x0000_t75" style="width:186.05pt;height:47.25pt" o:ole="">
            <v:imagedata r:id="rId33" o:title=""/>
          </v:shape>
          <o:OLEObject Type="Embed" ProgID="Equation.3" ShapeID="_x0000_i1033" DrawAspect="Content" ObjectID="_1637235022" r:id="rId34"/>
        </w:object>
      </w:r>
    </w:p>
    <w:p w:rsidR="00E62388" w:rsidRDefault="00E62388">
      <w:pPr>
        <w:pStyle w:val="LectureNotesNormal"/>
      </w:pPr>
    </w:p>
    <w:p w:rsidR="00E62388" w:rsidRDefault="00E62388">
      <w:pPr>
        <w:pStyle w:val="LectureNotesNormal"/>
      </w:pPr>
      <w:r>
        <w:t xml:space="preserve">With the values given, </w:t>
      </w:r>
      <w:r>
        <w:sym w:font="Symbol" w:char="F044"/>
      </w:r>
      <w:r>
        <w:t>V = -70 mV, pretty good.</w:t>
      </w:r>
    </w:p>
    <w:p w:rsidR="00E62388" w:rsidRDefault="00E62388">
      <w:pPr>
        <w:pStyle w:val="LectureNotesNormal"/>
      </w:pPr>
      <w:r>
        <w:lastRenderedPageBreak/>
        <w:t>Note that the Cl</w:t>
      </w:r>
      <w:r>
        <w:rPr>
          <w:vertAlign w:val="superscript"/>
        </w:rPr>
        <w:t>-</w:t>
      </w:r>
      <w:r>
        <w:t xml:space="preserve"> concentrations are a bit off, as the measured or stated ones are not in keeping with the resting potential.</w:t>
      </w:r>
    </w:p>
    <w:p w:rsidR="00E62388" w:rsidRDefault="00E62388">
      <w:pPr>
        <w:pStyle w:val="Heading2"/>
      </w:pPr>
      <w:r>
        <w:t>Now, open Na channels.</w:t>
      </w:r>
    </w:p>
    <w:p w:rsidR="00E62388" w:rsidRDefault="00E62388">
      <w:pPr>
        <w:pStyle w:val="LectureNotesNormal"/>
      </w:pPr>
      <w:r>
        <w:t>Use the peak Na conductance as an estimate to get the rising edge:</w:t>
      </w:r>
    </w:p>
    <w:p w:rsidR="00E62388" w:rsidRDefault="00E62388">
      <w:pPr>
        <w:pStyle w:val="LectureNotesNormal"/>
        <w:numPr>
          <w:ilvl w:val="0"/>
          <w:numId w:val="28"/>
        </w:numPr>
      </w:pPr>
      <w:proofErr w:type="spellStart"/>
      <w:r>
        <w:t>g</w:t>
      </w:r>
      <w:r>
        <w:rPr>
          <w:vertAlign w:val="subscript"/>
        </w:rPr>
        <w:t>Na,AP</w:t>
      </w:r>
      <w:proofErr w:type="spellEnd"/>
      <w:r>
        <w:t xml:space="preserve">= 27 </w:t>
      </w:r>
      <w:proofErr w:type="spellStart"/>
      <w:r>
        <w:t>mS</w:t>
      </w:r>
      <w:proofErr w:type="spellEnd"/>
      <w:r>
        <w:t>/cm</w:t>
      </w:r>
      <w:r>
        <w:rPr>
          <w:vertAlign w:val="superscript"/>
        </w:rPr>
        <w:t>2</w:t>
      </w:r>
    </w:p>
    <w:p w:rsidR="00E62388" w:rsidRDefault="00E62388">
      <w:pPr>
        <w:pStyle w:val="LectureNotesNormal"/>
      </w:pPr>
      <w:r>
        <w:t xml:space="preserve">Consider a 500 </w:t>
      </w:r>
      <w:r>
        <w:sym w:font="Symbol" w:char="F06D"/>
      </w:r>
      <w:r>
        <w:t xml:space="preserve">m diameter axon, take a 1 </w:t>
      </w:r>
      <w:r>
        <w:sym w:font="Symbol" w:char="F06D"/>
      </w:r>
      <w:r>
        <w:t>m length</w:t>
      </w:r>
    </w:p>
    <w:p w:rsidR="00E62388" w:rsidRDefault="00E62388">
      <w:pPr>
        <w:pStyle w:val="LectureNotesNormal"/>
      </w:pPr>
      <w:r>
        <w:t xml:space="preserve">Area = </w:t>
      </w:r>
      <w:r>
        <w:sym w:font="Symbol" w:char="F070"/>
      </w:r>
      <w:r>
        <w:t>*500</w:t>
      </w:r>
      <w:r>
        <w:sym w:font="Symbol" w:char="F06D"/>
      </w:r>
      <w:r>
        <w:t>m*1</w:t>
      </w:r>
      <w:r>
        <w:sym w:font="Symbol" w:char="F06D"/>
      </w:r>
      <w:r>
        <w:t>m=1570</w:t>
      </w:r>
      <w:r>
        <w:sym w:font="Symbol" w:char="F06D"/>
      </w:r>
      <w:r>
        <w:t>m</w:t>
      </w:r>
      <w:r>
        <w:rPr>
          <w:vertAlign w:val="superscript"/>
        </w:rPr>
        <w:t>2</w:t>
      </w:r>
    </w:p>
    <w:p w:rsidR="00E62388" w:rsidRDefault="00E62388">
      <w:pPr>
        <w:pStyle w:val="LectureNotesNormal"/>
      </w:pPr>
      <w:r>
        <w:t>Capacitance = 1</w:t>
      </w:r>
      <w:r>
        <w:sym w:font="Symbol" w:char="F06D"/>
      </w:r>
      <w:r>
        <w:t>F/cm</w:t>
      </w:r>
      <w:r>
        <w:rPr>
          <w:vertAlign w:val="superscript"/>
        </w:rPr>
        <w:t>2</w:t>
      </w:r>
      <w:r>
        <w:t xml:space="preserve"> * 1570</w:t>
      </w:r>
      <w:r>
        <w:sym w:font="Symbol" w:char="F06D"/>
      </w:r>
      <w:r>
        <w:t>m</w:t>
      </w:r>
      <w:r>
        <w:rPr>
          <w:vertAlign w:val="superscript"/>
        </w:rPr>
        <w:t>2</w:t>
      </w:r>
      <w:r>
        <w:t>*(1E-8 cm</w:t>
      </w:r>
      <w:r>
        <w:rPr>
          <w:vertAlign w:val="superscript"/>
        </w:rPr>
        <w:t>2</w:t>
      </w:r>
      <w:r>
        <w:t>/</w:t>
      </w:r>
      <w:r>
        <w:sym w:font="Symbol" w:char="F06D"/>
      </w:r>
      <w:r>
        <w:t>m</w:t>
      </w:r>
      <w:r>
        <w:rPr>
          <w:vertAlign w:val="superscript"/>
        </w:rPr>
        <w:t>2</w:t>
      </w:r>
      <w:r>
        <w:t>) = 1.6E-11 Farad</w:t>
      </w:r>
    </w:p>
    <w:p w:rsidR="00E62388" w:rsidRDefault="00E62388">
      <w:pPr>
        <w:pStyle w:val="LectureNotesNormal"/>
      </w:pPr>
      <w:r>
        <w:t>Resistance for this patch = 1/(</w:t>
      </w:r>
      <w:proofErr w:type="spellStart"/>
      <w:r>
        <w:t>g</w:t>
      </w:r>
      <w:r>
        <w:rPr>
          <w:vertAlign w:val="subscript"/>
        </w:rPr>
        <w:t>Na,AP</w:t>
      </w:r>
      <w:proofErr w:type="spellEnd"/>
      <w:r>
        <w:t>*1570</w:t>
      </w:r>
      <w:r>
        <w:sym w:font="Symbol" w:char="F06D"/>
      </w:r>
      <w:r>
        <w:t>m</w:t>
      </w:r>
      <w:r>
        <w:rPr>
          <w:vertAlign w:val="superscript"/>
        </w:rPr>
        <w:t>2</w:t>
      </w:r>
      <w:r>
        <w:t>)=1/(4.2E-7S)=2.36 M</w:t>
      </w:r>
      <w:r>
        <w:sym w:font="Symbol" w:char="F057"/>
      </w:r>
    </w:p>
    <w:p w:rsidR="00E62388" w:rsidRDefault="00E62388">
      <w:pPr>
        <w:pStyle w:val="LectureNotesNormal"/>
      </w:pPr>
      <w:r>
        <w:t xml:space="preserve">Time constant = 3.7E-5 seconds ~ 35 </w:t>
      </w:r>
      <w:r>
        <w:sym w:font="Symbol" w:char="F06D"/>
      </w:r>
      <w:r>
        <w:t>s. Certainly fast enough to provide the designated graph.</w:t>
      </w:r>
    </w:p>
    <w:p w:rsidR="00E62388" w:rsidRDefault="00E62388">
      <w:pPr>
        <w:pStyle w:val="LectureNotesNormal"/>
      </w:pPr>
      <w:r>
        <w:t>What is the target potential?</w:t>
      </w:r>
    </w:p>
    <w:p w:rsidR="00E62388" w:rsidRDefault="00E62388">
      <w:pPr>
        <w:pStyle w:val="LectureNotesNormal"/>
        <w:numPr>
          <w:ilvl w:val="0"/>
          <w:numId w:val="28"/>
        </w:numPr>
      </w:pPr>
      <w:proofErr w:type="spellStart"/>
      <w:r>
        <w:t>g</w:t>
      </w:r>
      <w:r>
        <w:rPr>
          <w:vertAlign w:val="subscript"/>
        </w:rPr>
        <w:t>Na</w:t>
      </w:r>
      <w:proofErr w:type="spellEnd"/>
      <w:r>
        <w:t xml:space="preserve">= 27 </w:t>
      </w:r>
      <w:proofErr w:type="spellStart"/>
      <w:r>
        <w:t>mS</w:t>
      </w:r>
      <w:proofErr w:type="spellEnd"/>
      <w:r>
        <w:t>/cm</w:t>
      </w:r>
      <w:r>
        <w:rPr>
          <w:vertAlign w:val="superscript"/>
        </w:rPr>
        <w:t>2</w:t>
      </w:r>
    </w:p>
    <w:p w:rsidR="00E62388" w:rsidRDefault="00E62388">
      <w:pPr>
        <w:pStyle w:val="LectureNotesNormal"/>
        <w:numPr>
          <w:ilvl w:val="0"/>
          <w:numId w:val="28"/>
        </w:numPr>
      </w:pPr>
      <w:proofErr w:type="spellStart"/>
      <w:r>
        <w:t>g</w:t>
      </w:r>
      <w:r>
        <w:rPr>
          <w:vertAlign w:val="subscript"/>
        </w:rPr>
        <w:t>K</w:t>
      </w:r>
      <w:proofErr w:type="spellEnd"/>
      <w:r>
        <w:t xml:space="preserve">=1.5 </w:t>
      </w:r>
      <w:proofErr w:type="spellStart"/>
      <w:r>
        <w:t>mS</w:t>
      </w:r>
      <w:proofErr w:type="spellEnd"/>
      <w:r>
        <w:t>/cm</w:t>
      </w:r>
      <w:r>
        <w:rPr>
          <w:vertAlign w:val="superscript"/>
        </w:rPr>
        <w:t>2</w:t>
      </w:r>
    </w:p>
    <w:p w:rsidR="00E62388" w:rsidRDefault="00E62388">
      <w:pPr>
        <w:pStyle w:val="LectureNotesNormal"/>
        <w:numPr>
          <w:ilvl w:val="0"/>
          <w:numId w:val="28"/>
        </w:numPr>
      </w:pPr>
      <w:proofErr w:type="spellStart"/>
      <w:r>
        <w:t>g</w:t>
      </w:r>
      <w:r>
        <w:rPr>
          <w:vertAlign w:val="subscript"/>
        </w:rPr>
        <w:t>Cl</w:t>
      </w:r>
      <w:proofErr w:type="spellEnd"/>
      <w:r>
        <w:t xml:space="preserve">=0.8 </w:t>
      </w:r>
      <w:proofErr w:type="spellStart"/>
      <w:r>
        <w:t>mS</w:t>
      </w:r>
      <w:proofErr w:type="spellEnd"/>
      <w:r>
        <w:t>/cm</w:t>
      </w:r>
      <w:r>
        <w:rPr>
          <w:vertAlign w:val="superscript"/>
        </w:rPr>
        <w:t>2</w:t>
      </w:r>
    </w:p>
    <w:p w:rsidR="00E62388" w:rsidRDefault="00E62388">
      <w:pPr>
        <w:pStyle w:val="LectureNotesNormal"/>
        <w:numPr>
          <w:ilvl w:val="0"/>
          <w:numId w:val="28"/>
        </w:numPr>
      </w:pPr>
      <w:r>
        <w:t>Pump-leak=&gt; 44 mV, pretty good</w:t>
      </w:r>
    </w:p>
    <w:p w:rsidR="00E62388" w:rsidRDefault="00E62388">
      <w:pPr>
        <w:pStyle w:val="LectureNotesNormal"/>
      </w:pPr>
      <w:bookmarkStart w:id="0" w:name="_GoBack"/>
      <w:bookmarkEnd w:id="0"/>
    </w:p>
    <w:p w:rsidR="00E62388" w:rsidRDefault="00E62388">
      <w:pPr>
        <w:pStyle w:val="LectureNotesNormal"/>
      </w:pPr>
      <w:r>
        <w:t>Now, during repolarization of membrane</w:t>
      </w:r>
    </w:p>
    <w:p w:rsidR="00E62388" w:rsidRDefault="00E62388">
      <w:pPr>
        <w:pStyle w:val="LectureNotesNormal"/>
      </w:pPr>
      <w:r>
        <w:t xml:space="preserve">Use the peak K conductance, </w:t>
      </w:r>
      <w:proofErr w:type="spellStart"/>
      <w:r>
        <w:t>g</w:t>
      </w:r>
      <w:r>
        <w:rPr>
          <w:vertAlign w:val="subscript"/>
        </w:rPr>
        <w:t>K,AP</w:t>
      </w:r>
      <w:proofErr w:type="spellEnd"/>
      <w:r>
        <w:t xml:space="preserve">=12 </w:t>
      </w:r>
      <w:proofErr w:type="spellStart"/>
      <w:r>
        <w:t>mS</w:t>
      </w:r>
      <w:proofErr w:type="spellEnd"/>
      <w:r>
        <w:t>/cm</w:t>
      </w:r>
      <w:r>
        <w:rPr>
          <w:vertAlign w:val="superscript"/>
        </w:rPr>
        <w:t>2</w:t>
      </w:r>
    </w:p>
    <w:p w:rsidR="00E62388" w:rsidRDefault="00E62388">
      <w:pPr>
        <w:pStyle w:val="LectureNotesNormal"/>
      </w:pPr>
      <w:r>
        <w:t xml:space="preserve">Assume an “average” Na conductance, </w:t>
      </w:r>
      <w:proofErr w:type="spellStart"/>
      <w:r>
        <w:t>g</w:t>
      </w:r>
      <w:r>
        <w:rPr>
          <w:vertAlign w:val="subscript"/>
        </w:rPr>
        <w:t>Na,RP</w:t>
      </w:r>
      <w:proofErr w:type="spellEnd"/>
      <w:r>
        <w:t xml:space="preserve">=7 </w:t>
      </w:r>
      <w:proofErr w:type="spellStart"/>
      <w:r>
        <w:t>mS</w:t>
      </w:r>
      <w:proofErr w:type="spellEnd"/>
      <w:r>
        <w:t>/cm</w:t>
      </w:r>
      <w:r>
        <w:rPr>
          <w:vertAlign w:val="superscript"/>
        </w:rPr>
        <w:t>2</w:t>
      </w:r>
    </w:p>
    <w:p w:rsidR="00E62388" w:rsidRDefault="00E62388">
      <w:pPr>
        <w:pStyle w:val="LectureNotesNormal"/>
      </w:pPr>
      <w:r>
        <w:t>Time constant, assuming that we can use the electrical model without following each species separately (</w:t>
      </w:r>
      <w:proofErr w:type="spellStart"/>
      <w:r>
        <w:t>conductances</w:t>
      </w:r>
      <w:proofErr w:type="spellEnd"/>
      <w:r>
        <w:t xml:space="preserve"> add up)=&gt; C = 1.6E-11 Farad, R = 3.35 M</w:t>
      </w:r>
      <w:r>
        <w:sym w:font="Symbol" w:char="F057"/>
      </w:r>
      <w:r>
        <w:t xml:space="preserve">, time constant = 53 </w:t>
      </w:r>
      <w:r>
        <w:sym w:font="Symbol" w:char="F06D"/>
      </w:r>
      <w:r>
        <w:t>s. Very fast, this stage dominated by channel protein details.</w:t>
      </w:r>
    </w:p>
    <w:p w:rsidR="00E62388" w:rsidRDefault="00E62388">
      <w:pPr>
        <w:pStyle w:val="Heading2"/>
      </w:pPr>
      <w:r>
        <w:t>After hyperpolarization:</w:t>
      </w:r>
    </w:p>
    <w:p w:rsidR="00E62388" w:rsidRDefault="00E62388">
      <w:pPr>
        <w:pStyle w:val="LectureNotesNormal"/>
      </w:pPr>
      <w:r>
        <w:t xml:space="preserve">Final potential set by </w:t>
      </w:r>
      <w:proofErr w:type="spellStart"/>
      <w:r>
        <w:t>g</w:t>
      </w:r>
      <w:r>
        <w:rPr>
          <w:vertAlign w:val="subscript"/>
        </w:rPr>
        <w:t>K</w:t>
      </w:r>
      <w:proofErr w:type="spellEnd"/>
      <w:r>
        <w:t xml:space="preserve">=5 </w:t>
      </w:r>
      <w:proofErr w:type="spellStart"/>
      <w:r>
        <w:t>mS</w:t>
      </w:r>
      <w:proofErr w:type="spellEnd"/>
      <w:r>
        <w:t>/cm</w:t>
      </w:r>
      <w:r>
        <w:rPr>
          <w:vertAlign w:val="superscript"/>
        </w:rPr>
        <w:t>2</w:t>
      </w:r>
      <w:r>
        <w:t xml:space="preserve">, </w:t>
      </w:r>
      <w:proofErr w:type="spellStart"/>
      <w:r>
        <w:t>g</w:t>
      </w:r>
      <w:r>
        <w:rPr>
          <w:vertAlign w:val="subscript"/>
        </w:rPr>
        <w:t>Na</w:t>
      </w:r>
      <w:proofErr w:type="spellEnd"/>
      <w:r>
        <w:t xml:space="preserve">=0.1 </w:t>
      </w:r>
      <w:proofErr w:type="spellStart"/>
      <w:r>
        <w:t>mS</w:t>
      </w:r>
      <w:proofErr w:type="spellEnd"/>
      <w:r>
        <w:t>/cm</w:t>
      </w:r>
      <w:r>
        <w:rPr>
          <w:vertAlign w:val="superscript"/>
        </w:rPr>
        <w:t>2</w:t>
      </w:r>
      <w:r>
        <w:t>. Hyperpolarization voltage set to:</w:t>
      </w:r>
    </w:p>
    <w:p w:rsidR="00E62388" w:rsidRDefault="00E62388">
      <w:pPr>
        <w:pStyle w:val="LectureNotesNormal"/>
      </w:pPr>
      <w:r>
        <w:t>pump leak =&gt;-73 mV</w:t>
      </w:r>
    </w:p>
    <w:p w:rsidR="00E62388" w:rsidRDefault="00E62388">
      <w:pPr>
        <w:pStyle w:val="LectureNotesNormal"/>
      </w:pPr>
      <w:r>
        <w:t xml:space="preserve">Now, turn off all action potential channels. Time constant of this system, assuming that we can follow the total ions: C=1.6E-11 Farad, R = 1/((1.5 + .1 + .8 </w:t>
      </w:r>
      <w:proofErr w:type="spellStart"/>
      <w:r>
        <w:t>mS</w:t>
      </w:r>
      <w:proofErr w:type="spellEnd"/>
      <w:r>
        <w:t>/cm</w:t>
      </w:r>
      <w:r>
        <w:rPr>
          <w:vertAlign w:val="superscript"/>
        </w:rPr>
        <w:t>2</w:t>
      </w:r>
      <w:r>
        <w:t>)*1570</w:t>
      </w:r>
      <w:r>
        <w:sym w:font="Symbol" w:char="F06D"/>
      </w:r>
      <w:r>
        <w:t>m</w:t>
      </w:r>
      <w:r>
        <w:rPr>
          <w:vertAlign w:val="superscript"/>
        </w:rPr>
        <w:t>2</w:t>
      </w:r>
      <w:r>
        <w:t>*(1E-8 cm</w:t>
      </w:r>
      <w:r>
        <w:rPr>
          <w:vertAlign w:val="superscript"/>
        </w:rPr>
        <w:t>2</w:t>
      </w:r>
      <w:r>
        <w:t>/</w:t>
      </w:r>
      <w:r>
        <w:sym w:font="Symbol" w:char="F06D"/>
      </w:r>
      <w:r>
        <w:t>m</w:t>
      </w:r>
      <w:r>
        <w:rPr>
          <w:vertAlign w:val="superscript"/>
        </w:rPr>
        <w:t>2</w:t>
      </w:r>
      <w:r>
        <w:t xml:space="preserve">)), </w:t>
      </w:r>
      <w:r>
        <w:sym w:font="Symbol" w:char="F074"/>
      </w:r>
      <w:r>
        <w:t xml:space="preserve"> = 4E-4 sec.  Thus, on the order of milliseconds to recover. Reasonable.</w:t>
      </w:r>
    </w:p>
    <w:sectPr w:rsidR="00E62388">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C03D5"/>
    <w:multiLevelType w:val="hybridMultilevel"/>
    <w:tmpl w:val="6B5068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7770488"/>
    <w:multiLevelType w:val="hybridMultilevel"/>
    <w:tmpl w:val="ECAC1D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81E179E"/>
    <w:multiLevelType w:val="hybridMultilevel"/>
    <w:tmpl w:val="6ED45A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A0813A4"/>
    <w:multiLevelType w:val="hybridMultilevel"/>
    <w:tmpl w:val="64989C8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
    <w:nsid w:val="117B4054"/>
    <w:multiLevelType w:val="hybridMultilevel"/>
    <w:tmpl w:val="14846E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2980918"/>
    <w:multiLevelType w:val="hybridMultilevel"/>
    <w:tmpl w:val="06DCA03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0B446D4"/>
    <w:multiLevelType w:val="hybridMultilevel"/>
    <w:tmpl w:val="58F2B924"/>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559087E"/>
    <w:multiLevelType w:val="hybridMultilevel"/>
    <w:tmpl w:val="D5B652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9CD5EA4"/>
    <w:multiLevelType w:val="hybridMultilevel"/>
    <w:tmpl w:val="F64ECA1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2A5F41FF"/>
    <w:multiLevelType w:val="hybridMultilevel"/>
    <w:tmpl w:val="2ED407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B551758"/>
    <w:multiLevelType w:val="hybridMultilevel"/>
    <w:tmpl w:val="8F506C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0916897"/>
    <w:multiLevelType w:val="hybridMultilevel"/>
    <w:tmpl w:val="8B362E6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nsid w:val="309A537E"/>
    <w:multiLevelType w:val="hybridMultilevel"/>
    <w:tmpl w:val="BD144D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0A27970"/>
    <w:multiLevelType w:val="hybridMultilevel"/>
    <w:tmpl w:val="3D2414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2911D8F"/>
    <w:multiLevelType w:val="hybridMultilevel"/>
    <w:tmpl w:val="493A86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DC32CC4"/>
    <w:multiLevelType w:val="hybridMultilevel"/>
    <w:tmpl w:val="53041D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F933312"/>
    <w:multiLevelType w:val="hybridMultilevel"/>
    <w:tmpl w:val="E2184B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23B1D85"/>
    <w:multiLevelType w:val="hybridMultilevel"/>
    <w:tmpl w:val="69D6CD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43868AE"/>
    <w:multiLevelType w:val="hybridMultilevel"/>
    <w:tmpl w:val="3FB46428"/>
    <w:lvl w:ilvl="0" w:tplc="0409000F">
      <w:start w:val="1"/>
      <w:numFmt w:val="decimal"/>
      <w:lvlText w:val="%1."/>
      <w:lvlJc w:val="left"/>
      <w:pPr>
        <w:tabs>
          <w:tab w:val="num" w:pos="2520"/>
        </w:tabs>
        <w:ind w:left="2520" w:hanging="360"/>
      </w:p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9">
    <w:nsid w:val="47B233EA"/>
    <w:multiLevelType w:val="hybridMultilevel"/>
    <w:tmpl w:val="B4F0F9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E991B28"/>
    <w:multiLevelType w:val="hybridMultilevel"/>
    <w:tmpl w:val="EF16BE0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3D14DC9"/>
    <w:multiLevelType w:val="hybridMultilevel"/>
    <w:tmpl w:val="A3DE18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B035870"/>
    <w:multiLevelType w:val="hybridMultilevel"/>
    <w:tmpl w:val="0180E52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CD40664"/>
    <w:multiLevelType w:val="hybridMultilevel"/>
    <w:tmpl w:val="90C0BBEC"/>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CAF414B"/>
    <w:multiLevelType w:val="hybridMultilevel"/>
    <w:tmpl w:val="558684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72F85304"/>
    <w:multiLevelType w:val="hybridMultilevel"/>
    <w:tmpl w:val="ED161E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31404D6"/>
    <w:multiLevelType w:val="hybridMultilevel"/>
    <w:tmpl w:val="62E68B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5342461"/>
    <w:multiLevelType w:val="hybridMultilevel"/>
    <w:tmpl w:val="99CA52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7DF6935"/>
    <w:multiLevelType w:val="hybridMultilevel"/>
    <w:tmpl w:val="AA5E86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A4D354E"/>
    <w:multiLevelType w:val="hybridMultilevel"/>
    <w:tmpl w:val="49686D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A4F78C3"/>
    <w:multiLevelType w:val="hybridMultilevel"/>
    <w:tmpl w:val="324E64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7"/>
  </w:num>
  <w:num w:numId="3">
    <w:abstractNumId w:val="0"/>
  </w:num>
  <w:num w:numId="4">
    <w:abstractNumId w:val="3"/>
  </w:num>
  <w:num w:numId="5">
    <w:abstractNumId w:val="10"/>
  </w:num>
  <w:num w:numId="6">
    <w:abstractNumId w:val="21"/>
  </w:num>
  <w:num w:numId="7">
    <w:abstractNumId w:val="18"/>
  </w:num>
  <w:num w:numId="8">
    <w:abstractNumId w:val="4"/>
  </w:num>
  <w:num w:numId="9">
    <w:abstractNumId w:val="16"/>
  </w:num>
  <w:num w:numId="10">
    <w:abstractNumId w:val="24"/>
  </w:num>
  <w:num w:numId="11">
    <w:abstractNumId w:val="5"/>
  </w:num>
  <w:num w:numId="12">
    <w:abstractNumId w:val="13"/>
  </w:num>
  <w:num w:numId="13">
    <w:abstractNumId w:val="2"/>
  </w:num>
  <w:num w:numId="14">
    <w:abstractNumId w:val="12"/>
  </w:num>
  <w:num w:numId="15">
    <w:abstractNumId w:val="20"/>
  </w:num>
  <w:num w:numId="16">
    <w:abstractNumId w:val="9"/>
  </w:num>
  <w:num w:numId="17">
    <w:abstractNumId w:val="23"/>
  </w:num>
  <w:num w:numId="18">
    <w:abstractNumId w:val="8"/>
  </w:num>
  <w:num w:numId="19">
    <w:abstractNumId w:val="17"/>
  </w:num>
  <w:num w:numId="20">
    <w:abstractNumId w:val="11"/>
  </w:num>
  <w:num w:numId="21">
    <w:abstractNumId w:val="30"/>
  </w:num>
  <w:num w:numId="22">
    <w:abstractNumId w:val="19"/>
  </w:num>
  <w:num w:numId="23">
    <w:abstractNumId w:val="15"/>
  </w:num>
  <w:num w:numId="24">
    <w:abstractNumId w:val="26"/>
  </w:num>
  <w:num w:numId="25">
    <w:abstractNumId w:val="22"/>
  </w:num>
  <w:num w:numId="26">
    <w:abstractNumId w:val="25"/>
  </w:num>
  <w:num w:numId="27">
    <w:abstractNumId w:val="7"/>
  </w:num>
  <w:num w:numId="28">
    <w:abstractNumId w:val="28"/>
  </w:num>
  <w:num w:numId="29">
    <w:abstractNumId w:val="29"/>
  </w:num>
  <w:num w:numId="30">
    <w:abstractNumId w:val="14"/>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2749"/>
    <w:rsid w:val="0021358D"/>
    <w:rsid w:val="00486841"/>
    <w:rsid w:val="00572A53"/>
    <w:rsid w:val="005A11B7"/>
    <w:rsid w:val="006041FD"/>
    <w:rsid w:val="006E52BA"/>
    <w:rsid w:val="007D2749"/>
    <w:rsid w:val="00890B09"/>
    <w:rsid w:val="009F5848"/>
    <w:rsid w:val="00A874AB"/>
    <w:rsid w:val="00B26727"/>
    <w:rsid w:val="00B34AC0"/>
    <w:rsid w:val="00BC38E3"/>
    <w:rsid w:val="00D9729C"/>
    <w:rsid w:val="00E62388"/>
    <w:rsid w:val="00FE27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ity"/>
  <w:shapeDefaults>
    <o:shapedefaults v:ext="edit" spidmax="1026"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60"/>
    </w:pPr>
    <w:rPr>
      <w:sz w:val="24"/>
      <w:szCs w:val="24"/>
    </w:rPr>
  </w:style>
  <w:style w:type="paragraph" w:styleId="Heading1">
    <w:name w:val="heading 1"/>
    <w:basedOn w:val="Normal"/>
    <w:next w:val="Normal"/>
    <w:qFormat/>
    <w:pPr>
      <w:keepNext/>
      <w:spacing w:before="240"/>
      <w:outlineLvl w:val="0"/>
    </w:pPr>
    <w:rPr>
      <w:rFonts w:ascii="Arial" w:hAnsi="Arial" w:cs="Arial"/>
      <w:b/>
      <w:bCs/>
      <w:kern w:val="32"/>
      <w:sz w:val="32"/>
      <w:szCs w:val="32"/>
    </w:rPr>
  </w:style>
  <w:style w:type="paragraph" w:styleId="Heading2">
    <w:name w:val="heading 2"/>
    <w:basedOn w:val="Normal"/>
    <w:next w:val="Normal"/>
    <w:qFormat/>
    <w:pPr>
      <w:keepNext/>
      <w:spacing w:before="240"/>
      <w:outlineLvl w:val="1"/>
    </w:pPr>
    <w:rPr>
      <w:rFonts w:ascii="Arial" w:hAnsi="Arial" w:cs="Arial"/>
      <w:b/>
      <w:bCs/>
      <w:i/>
      <w:iCs/>
      <w:sz w:val="28"/>
      <w:szCs w:val="28"/>
    </w:rPr>
  </w:style>
  <w:style w:type="paragraph" w:styleId="Heading3">
    <w:name w:val="heading 3"/>
    <w:basedOn w:val="Normal"/>
    <w:next w:val="Normal"/>
    <w:qFormat/>
    <w:pPr>
      <w:keepNext/>
      <w:spacing w:before="240"/>
      <w:outlineLvl w:val="2"/>
    </w:pPr>
    <w:rPr>
      <w:rFonts w:ascii="Arial" w:hAnsi="Arial" w:cs="Arial"/>
      <w:b/>
      <w:bCs/>
      <w:sz w:val="26"/>
      <w:szCs w:val="26"/>
    </w:rPr>
  </w:style>
  <w:style w:type="paragraph" w:styleId="Heading4">
    <w:name w:val="heading 4"/>
    <w:basedOn w:val="Normal"/>
    <w:next w:val="Normal"/>
    <w:qFormat/>
    <w:pPr>
      <w:keepNext/>
      <w:outlineLvl w:val="3"/>
    </w:pPr>
    <w:rPr>
      <w:i/>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customStyle="1" w:styleId="LectureNotesNormal">
    <w:name w:val="Lecture Notes Normal"/>
    <w:basedOn w:val="Normal"/>
    <w:pPr>
      <w:ind w:left="360" w:hanging="360"/>
    </w:pPr>
  </w:style>
  <w:style w:type="paragraph" w:customStyle="1" w:styleId="Equations">
    <w:name w:val="Equations"/>
    <w:basedOn w:val="Normal"/>
    <w:pPr>
      <w:spacing w:after="0"/>
      <w:jc w:val="center"/>
    </w:pPr>
  </w:style>
  <w:style w:type="paragraph" w:customStyle="1" w:styleId="Equationnote">
    <w:name w:val="Equation note"/>
    <w:basedOn w:val="Normal"/>
    <w:pPr>
      <w:spacing w:after="0"/>
      <w:ind w:left="1080"/>
    </w:pPr>
  </w:style>
  <w:style w:type="paragraph" w:styleId="BodyTextIndent">
    <w:name w:val="Body Text Indent"/>
    <w:basedOn w:val="Normal"/>
    <w:pPr>
      <w:ind w:left="1440" w:hanging="720"/>
    </w:pPr>
  </w:style>
  <w:style w:type="paragraph" w:styleId="Title">
    <w:name w:val="Title"/>
    <w:basedOn w:val="Normal"/>
    <w:qFormat/>
    <w:pPr>
      <w:jc w:val="center"/>
    </w:pPr>
    <w:rPr>
      <w:b/>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style>
  <w:style w:type="paragraph" w:styleId="BalloonText">
    <w:name w:val="Balloon Text"/>
    <w:basedOn w:val="Normal"/>
    <w:link w:val="BalloonTextChar"/>
    <w:rsid w:val="00B26727"/>
    <w:pPr>
      <w:spacing w:after="0"/>
    </w:pPr>
    <w:rPr>
      <w:rFonts w:ascii="Tahoma" w:hAnsi="Tahoma" w:cs="Tahoma"/>
      <w:sz w:val="16"/>
      <w:szCs w:val="16"/>
    </w:rPr>
  </w:style>
  <w:style w:type="character" w:customStyle="1" w:styleId="BalloonTextChar">
    <w:name w:val="Balloon Text Char"/>
    <w:basedOn w:val="DefaultParagraphFont"/>
    <w:link w:val="BalloonText"/>
    <w:rsid w:val="00B2672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60"/>
    </w:pPr>
    <w:rPr>
      <w:sz w:val="24"/>
      <w:szCs w:val="24"/>
    </w:rPr>
  </w:style>
  <w:style w:type="paragraph" w:styleId="Heading1">
    <w:name w:val="heading 1"/>
    <w:basedOn w:val="Normal"/>
    <w:next w:val="Normal"/>
    <w:qFormat/>
    <w:pPr>
      <w:keepNext/>
      <w:spacing w:before="240"/>
      <w:outlineLvl w:val="0"/>
    </w:pPr>
    <w:rPr>
      <w:rFonts w:ascii="Arial" w:hAnsi="Arial" w:cs="Arial"/>
      <w:b/>
      <w:bCs/>
      <w:kern w:val="32"/>
      <w:sz w:val="32"/>
      <w:szCs w:val="32"/>
    </w:rPr>
  </w:style>
  <w:style w:type="paragraph" w:styleId="Heading2">
    <w:name w:val="heading 2"/>
    <w:basedOn w:val="Normal"/>
    <w:next w:val="Normal"/>
    <w:qFormat/>
    <w:pPr>
      <w:keepNext/>
      <w:spacing w:before="240"/>
      <w:outlineLvl w:val="1"/>
    </w:pPr>
    <w:rPr>
      <w:rFonts w:ascii="Arial" w:hAnsi="Arial" w:cs="Arial"/>
      <w:b/>
      <w:bCs/>
      <w:i/>
      <w:iCs/>
      <w:sz w:val="28"/>
      <w:szCs w:val="28"/>
    </w:rPr>
  </w:style>
  <w:style w:type="paragraph" w:styleId="Heading3">
    <w:name w:val="heading 3"/>
    <w:basedOn w:val="Normal"/>
    <w:next w:val="Normal"/>
    <w:qFormat/>
    <w:pPr>
      <w:keepNext/>
      <w:spacing w:before="240"/>
      <w:outlineLvl w:val="2"/>
    </w:pPr>
    <w:rPr>
      <w:rFonts w:ascii="Arial" w:hAnsi="Arial" w:cs="Arial"/>
      <w:b/>
      <w:bCs/>
      <w:sz w:val="26"/>
      <w:szCs w:val="26"/>
    </w:rPr>
  </w:style>
  <w:style w:type="paragraph" w:styleId="Heading4">
    <w:name w:val="heading 4"/>
    <w:basedOn w:val="Normal"/>
    <w:next w:val="Normal"/>
    <w:qFormat/>
    <w:pPr>
      <w:keepNext/>
      <w:outlineLvl w:val="3"/>
    </w:pPr>
    <w:rPr>
      <w:i/>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customStyle="1" w:styleId="LectureNotesNormal">
    <w:name w:val="Lecture Notes Normal"/>
    <w:basedOn w:val="Normal"/>
    <w:pPr>
      <w:ind w:left="360" w:hanging="360"/>
    </w:pPr>
  </w:style>
  <w:style w:type="paragraph" w:customStyle="1" w:styleId="Equations">
    <w:name w:val="Equations"/>
    <w:basedOn w:val="Normal"/>
    <w:pPr>
      <w:spacing w:after="0"/>
      <w:jc w:val="center"/>
    </w:pPr>
  </w:style>
  <w:style w:type="paragraph" w:customStyle="1" w:styleId="Equationnote">
    <w:name w:val="Equation note"/>
    <w:basedOn w:val="Normal"/>
    <w:pPr>
      <w:spacing w:after="0"/>
      <w:ind w:left="1080"/>
    </w:pPr>
  </w:style>
  <w:style w:type="paragraph" w:styleId="BodyTextIndent">
    <w:name w:val="Body Text Indent"/>
    <w:basedOn w:val="Normal"/>
    <w:pPr>
      <w:ind w:left="1440" w:hanging="720"/>
    </w:pPr>
  </w:style>
  <w:style w:type="paragraph" w:styleId="Title">
    <w:name w:val="Title"/>
    <w:basedOn w:val="Normal"/>
    <w:qFormat/>
    <w:pPr>
      <w:jc w:val="center"/>
    </w:pPr>
    <w:rPr>
      <w:b/>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style>
  <w:style w:type="paragraph" w:styleId="BalloonText">
    <w:name w:val="Balloon Text"/>
    <w:basedOn w:val="Normal"/>
    <w:link w:val="BalloonTextChar"/>
    <w:rsid w:val="00B26727"/>
    <w:pPr>
      <w:spacing w:after="0"/>
    </w:pPr>
    <w:rPr>
      <w:rFonts w:ascii="Tahoma" w:hAnsi="Tahoma" w:cs="Tahoma"/>
      <w:sz w:val="16"/>
      <w:szCs w:val="16"/>
    </w:rPr>
  </w:style>
  <w:style w:type="character" w:customStyle="1" w:styleId="BalloonTextChar">
    <w:name w:val="Balloon Text Char"/>
    <w:basedOn w:val="DefaultParagraphFont"/>
    <w:link w:val="BalloonText"/>
    <w:rsid w:val="00B2672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wmf"/><Relationship Id="rId18" Type="http://schemas.openxmlformats.org/officeDocument/2006/relationships/image" Target="media/image12.wmf"/><Relationship Id="rId26" Type="http://schemas.openxmlformats.org/officeDocument/2006/relationships/image" Target="media/image16.wmf"/><Relationship Id="rId3" Type="http://schemas.microsoft.com/office/2007/relationships/stylesWithEffects" Target="stylesWithEffects.xml"/><Relationship Id="rId21" Type="http://schemas.openxmlformats.org/officeDocument/2006/relationships/oleObject" Target="embeddings/oleObject3.bin"/><Relationship Id="rId34" Type="http://schemas.openxmlformats.org/officeDocument/2006/relationships/oleObject" Target="embeddings/oleObject9.bin"/><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1.wmf"/><Relationship Id="rId25" Type="http://schemas.openxmlformats.org/officeDocument/2006/relationships/oleObject" Target="embeddings/oleObject5.bin"/><Relationship Id="rId33" Type="http://schemas.openxmlformats.org/officeDocument/2006/relationships/image" Target="media/image20.wmf"/><Relationship Id="rId2" Type="http://schemas.openxmlformats.org/officeDocument/2006/relationships/styles" Target="styles.xml"/><Relationship Id="rId16" Type="http://schemas.openxmlformats.org/officeDocument/2006/relationships/oleObject" Target="embeddings/oleObject1.bin"/><Relationship Id="rId20" Type="http://schemas.openxmlformats.org/officeDocument/2006/relationships/image" Target="media/image13.wmf"/><Relationship Id="rId29" Type="http://schemas.openxmlformats.org/officeDocument/2006/relationships/image" Target="media/image18.wmf"/><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5.wmf"/><Relationship Id="rId32" Type="http://schemas.openxmlformats.org/officeDocument/2006/relationships/oleObject" Target="embeddings/oleObject8.bin"/><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oleObject" Target="embeddings/oleObject4.bin"/><Relationship Id="rId28" Type="http://schemas.openxmlformats.org/officeDocument/2006/relationships/image" Target="media/image17.png"/><Relationship Id="rId36"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oleObject" Target="embeddings/oleObject2.bin"/><Relationship Id="rId31" Type="http://schemas.openxmlformats.org/officeDocument/2006/relationships/image" Target="media/image19.wmf"/><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wmf"/><Relationship Id="rId22" Type="http://schemas.openxmlformats.org/officeDocument/2006/relationships/image" Target="media/image14.wmf"/><Relationship Id="rId27" Type="http://schemas.openxmlformats.org/officeDocument/2006/relationships/oleObject" Target="embeddings/oleObject6.bin"/><Relationship Id="rId30" Type="http://schemas.openxmlformats.org/officeDocument/2006/relationships/oleObject" Target="embeddings/oleObject7.bin"/><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9</Pages>
  <Words>1913</Words>
  <Characters>10905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BMEN E4001x: Quantitative Physiology I / Molecular and Cellular Systems</vt:lpstr>
    </vt:vector>
  </TitlesOfParts>
  <Company>Columbia University</Company>
  <LinksUpToDate>false</LinksUpToDate>
  <CharactersWithSpaces>12793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BMEN E4001x: Quantitative Physiology I / Molecular and Cellular Systems</dc:title>
  <dc:creator>Lance Kam</dc:creator>
  <cp:lastModifiedBy>Columbia University</cp:lastModifiedBy>
  <cp:revision>3</cp:revision>
  <cp:lastPrinted>2006-11-12T20:20:00Z</cp:lastPrinted>
  <dcterms:created xsi:type="dcterms:W3CDTF">2016-10-27T15:25:00Z</dcterms:created>
  <dcterms:modified xsi:type="dcterms:W3CDTF">2019-12-07T19:44:00Z</dcterms:modified>
</cp:coreProperties>
</file>